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Arial" w:hAnsi="Arial"/>
          <w:b/>
          <w:i w:val="0"/>
          <w:color w:val="1A1A1A"/>
          <w:sz w:val="26"/>
        </w:rPr>
        <w:t>O. FELIX AMORUWA</w:t>
      </w:r>
    </w:p>
    <w:p>
      <w:pPr>
        <w:spacing w:before="0" w:after="10"/>
        <w:jc w:val="center"/>
      </w:pPr>
      <w:r>
        <w:rPr>
          <w:rFonts w:ascii="Arial" w:hAnsi="Arial"/>
          <w:b w:val="0"/>
          <w:i w:val="0"/>
          <w:color w:val="555555"/>
          <w:sz w:val="16"/>
        </w:rPr>
        <w:t xml:space="preserve">famoruwa@berkeley.edu  |  909-731-9011  |  </w:t>
      </w:r>
      <w:hyperlink r:id="rId9">
        <w:r>
          <w:rPr>
            <w:rFonts w:ascii="Arial" w:hAnsi="Arial"/>
            <w:sz w:val="16"/>
            <w:color w:val="2B547E"/>
            <w:u w:val="single"/>
          </w:rPr>
          <w:t xml:space="preserve">felixamoruwa.info</w:t>
        </w:r>
      </w:hyperlink>
    </w:p>
    <w:p>
      <w:pPr>
        <w:spacing w:before="55" w:after="55"/>
      </w:pPr>
      <w:r>
        <w:rPr>
          <w:rFonts w:ascii="Arial" w:hAnsi="Arial"/>
          <w:b w:val="0"/>
          <w:i w:val="0"/>
          <w:color w:val="555555"/>
          <w:sz w:val="16"/>
        </w:rPr>
        <w:t>Product leader who thrives in massive ambiguity — with a proven 0→1 and 1+ track record building real-time AI products, multimodal agent platforms, and developer infrastructure at scale. Founded two AI companies shipping production systems across macOS, iOS, and Web; scaled Intuit's AI platform to 675M+ engagements. NeurIPS-published researcher with hands-on ML depth from RLHF workbenches to multimodal pipelines. Opinionated, execution-first, and fluent in the language engineers respect.</w:t>
      </w:r>
    </w:p>
    <w:p>
      <w:pPr>
        <w:spacing w:before="100" w:after="18"/>
        <w:pBdr>
          <w:bottom w:val="single" w:sz="8" w:space="4" w:color="2B547E"/>
        </w:pBdr>
      </w:pPr>
      <w:r>
        <w:rPr>
          <w:rFonts w:ascii="Arial" w:hAnsi="Arial"/>
          <w:b/>
          <w:i w:val="0"/>
          <w:color w:val="2B547E"/>
          <w:sz w:val="19"/>
        </w:rPr>
        <w:t>PROFESSIONAL EXPERIENCE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STREAMIO AI</w:t>
      </w:r>
      <w:r>
        <w:rPr>
          <w:rFonts w:ascii="Arial" w:hAnsi="Arial"/>
          <w:b w:val="0"/>
          <w:i w:val="0"/>
          <w:color w:val="888888"/>
          <w:sz w:val="15"/>
        </w:rPr>
        <w:t xml:space="preserve">  |  Oakland, CA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6"/>
        </w:rPr>
        <w:t>Founder &amp; CEO — streamio.ai (macOS, Linux, iOS &amp; Web)</w:t>
      </w:r>
      <w:r>
        <w:rPr>
          <w:rFonts w:ascii="Arial" w:hAnsi="Arial"/>
          <w:b w:val="0"/>
          <w:i w:val="0"/>
          <w:color w:val="888888"/>
          <w:sz w:val="15"/>
        </w:rPr>
        <w:t xml:space="preserve">    09/24 – Present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Built 0→1 production AI platform — Electron + React + TypeScript desktop app with 100+ components — delivering real-time multimodal AI analysis of screen captures via Claude (MCP SDK), enabling contextual conversations, automated report generation, and AI-assisted workflows across real estate, insurance, and financial markets.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Engineered real-time perception pipeline directly analogous to Tavus's human simulation stack: multi-stream canvas compositing (up to 9 concurrent sources at 30fps), FFmpeg transcoding, WebSocket communication layer, and HLS livestreaming — owned end-to-end from architecture to production.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Implemented OpenClaw multi-agent orchestration framework with gateway protocol, subagent delegation, profile management, and session switching — enabling coordinated AI agent workflows across multiple industry verticals.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Shipped cross-platform iOS streaming app (React Native/Expo) with dual-source capture, on-device FFmpeg transcoding, Picture-in-Picture compositing, and Kinde OAuth 2.0 — moving from zero to App Store in weeks.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Led all customer discovery, iterative product refinement, and go-to-market execution — owning the full customer journey from first sign-up through production outcomes.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FINTELLECT AI</w:t>
      </w:r>
      <w:r>
        <w:rPr>
          <w:rFonts w:ascii="Arial" w:hAnsi="Arial"/>
          <w:b w:val="0"/>
          <w:i w:val="0"/>
          <w:color w:val="888888"/>
          <w:sz w:val="15"/>
        </w:rPr>
        <w:t xml:space="preserve">  |  Oakland, CA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6"/>
        </w:rPr>
        <w:t>Founder &amp; CEO — fintellectai.io (iOS/Android/Web)</w:t>
      </w:r>
      <w:r>
        <w:rPr>
          <w:rFonts w:ascii="Arial" w:hAnsi="Arial"/>
          <w:b w:val="0"/>
          <w:i w:val="0"/>
          <w:color w:val="888888"/>
          <w:sz w:val="15"/>
        </w:rPr>
        <w:t xml:space="preserve">    09/24 – Present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Built 0→1 conversational AI agent platform for retail investors — domain-specific agents delivering guided, context-aware advisory interactions embedded across mobile and web, with multi-provider LLM orchestration (Claude, GPT-4, Gemini) and fallback routing.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Architected RAG retrieval pipeline with ChromaDB vector store, structured output validation, and token budget optimization; integrated AI-powered charting and macroeconomic analysis tools for real-time market insights.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Executed full customer journey ownership: customer discovery, App Store launch, influencer partnerships, and iterative refinement based on trader feedback.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INTUIT</w:t>
      </w:r>
      <w:r>
        <w:rPr>
          <w:rFonts w:ascii="Arial" w:hAnsi="Arial"/>
          <w:b w:val="0"/>
          <w:i w:val="0"/>
          <w:color w:val="888888"/>
          <w:sz w:val="15"/>
        </w:rPr>
        <w:t xml:space="preserve">  |  Mountain View, CA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6"/>
        </w:rPr>
        <w:t>Staff Product Manager — Developer Frameworks &amp; Platform Infrastructure</w:t>
      </w:r>
      <w:r>
        <w:rPr>
          <w:rFonts w:ascii="Arial" w:hAnsi="Arial"/>
          <w:b w:val="0"/>
          <w:i w:val="0"/>
          <w:color w:val="888888"/>
          <w:sz w:val="15"/>
        </w:rPr>
        <w:t xml:space="preserve">    06/21 – 09/24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Scaled Intuit's AI platform to 675M+ engagements in FY23 (275% YoY growth) across QuickBooks, TurboTax, Mint, Mailchimp, and Credit Karma — 1+ execution at enterprise scale, growing throughput from 6K to 50K TPS via rSocket migration supporting ~1.5M concurrent connections at sub-25ms TP99.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Delivered ICE Self-Service platform (DevPortal, GitOps config, ICE Playground), reducing developer onboarding from 2–3 weeks to minutes — earning engineering team trust by shipping tooling that solved real developer pain.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Extended Java and Python SDK Starter Kits with scaffolding templates, build configurations, testing frameworks, and CI/CD integration — empowering developers to go from zero to production-ready microservice in minutes.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Conducted enterprise-wide Service Language Assessment across 9 languages, analyzing usage data and developer feedback to form strong convictions presented directly to CTO; built Asterias, a declarative asset lifecycle management platform with GraphQL API.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Implemented ICE Presence in async chat, generating $480K/month in additional invoicing; deployed Background-to-Foreground Messaging on iOS/Android with &lt;100ms latency.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SPLUNK INC.</w:t>
      </w:r>
      <w:r>
        <w:rPr>
          <w:rFonts w:ascii="Arial" w:hAnsi="Arial"/>
          <w:b w:val="0"/>
          <w:i w:val="0"/>
          <w:color w:val="888888"/>
          <w:sz w:val="15"/>
        </w:rPr>
        <w:t xml:space="preserve">  |  San Francisco, CA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6"/>
        </w:rPr>
        <w:t>Senior Product Manager — Search Orchestration</w:t>
      </w:r>
      <w:r>
        <w:rPr>
          <w:rFonts w:ascii="Arial" w:hAnsi="Arial"/>
          <w:b w:val="0"/>
          <w:i w:val="0"/>
          <w:color w:val="888888"/>
          <w:sz w:val="15"/>
        </w:rPr>
        <w:t xml:space="preserve">    01/19 – 01/21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Delivered Scheduler Service end-to-end in ~4 months, enabling scheduled search for first-party applications — bias for execution in a fast-moving cloud services environment; demoed at Splunk .conf19.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Owned Search Service (Go microservices), Search Catalog (PostgreSQL), and SPL/SPL2 — built roadmaps, PRDs, and acceptance criteria while achieving up to 10x query performance improvements for Fortune 500 beta customers.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Designed RICE-based prioritization framework across 3 microservice backlogs, balancing internal, third-party developer, and enterprise customer requirements.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KAISER PERMANENTE</w:t>
      </w:r>
      <w:r>
        <w:rPr>
          <w:rFonts w:ascii="Arial" w:hAnsi="Arial"/>
          <w:b w:val="0"/>
          <w:i w:val="0"/>
          <w:color w:val="888888"/>
          <w:sz w:val="15"/>
        </w:rPr>
        <w:t xml:space="preserve">  |  Pleasanton, CA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6"/>
        </w:rPr>
        <w:t>SOA Technical Product Manager</w:t>
      </w:r>
      <w:r>
        <w:rPr>
          <w:rFonts w:ascii="Arial" w:hAnsi="Arial"/>
          <w:b w:val="0"/>
          <w:i w:val="0"/>
          <w:color w:val="888888"/>
          <w:sz w:val="15"/>
        </w:rPr>
        <w:t xml:space="preserve">    08/12 – 12/18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Led enterprise Splunk Logging-as-a-Service platform (1.7 TB daily volume, 200+ internal customers) and ITSI Application Monitoring-as-a-Service — owned platform outcomes end-to-end across multiple datacenters.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Built Redis/XC10 caching capability enterprise-wide, addressing scalability, fault tolerance, and data redundancy at scale.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IBM</w:t>
      </w:r>
      <w:r>
        <w:rPr>
          <w:rFonts w:ascii="Arial" w:hAnsi="Arial"/>
          <w:b w:val="0"/>
          <w:i w:val="0"/>
          <w:color w:val="888888"/>
          <w:sz w:val="15"/>
        </w:rPr>
        <w:t xml:space="preserve">  |  Pittsburgh, PA / Foster City, CA / RTP, NC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6"/>
        </w:rPr>
        <w:t>Software Engineer — Business Intelligence Products</w:t>
      </w:r>
      <w:r>
        <w:rPr>
          <w:rFonts w:ascii="Arial" w:hAnsi="Arial"/>
          <w:b w:val="0"/>
          <w:i w:val="0"/>
          <w:color w:val="888888"/>
          <w:sz w:val="15"/>
        </w:rPr>
        <w:t xml:space="preserve">    07/05 – 03/10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Resolved multiple $1–5M high-severity customer escalations for enterprise BI products; led cross-functional root cause analysis and customer-facing resolution, improving case resolution time by 20% — engineering roots that inform how I earn team respect today.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BANK OF AMERICA MERRILL LYNCH</w:t>
      </w:r>
      <w:r>
        <w:rPr>
          <w:rFonts w:ascii="Arial" w:hAnsi="Arial"/>
          <w:b w:val="0"/>
          <w:i w:val="0"/>
          <w:color w:val="888888"/>
          <w:sz w:val="15"/>
        </w:rPr>
        <w:t xml:space="preserve">  |  Charlotte, NC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6"/>
        </w:rPr>
        <w:t>Tech MBA Summer Associate — Global Corporate &amp; Investment Banking T&amp;O</w:t>
      </w:r>
      <w:r>
        <w:rPr>
          <w:rFonts w:ascii="Arial" w:hAnsi="Arial"/>
          <w:b w:val="0"/>
          <w:i w:val="0"/>
          <w:color w:val="888888"/>
          <w:sz w:val="15"/>
        </w:rPr>
        <w:t xml:space="preserve">    06/11 – 08/11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Developed Monte Carlo simulation model to optimize DMAIC phase distribution across a $494M portfolio in Global Technology &amp; Operations.</w:t>
      </w:r>
    </w:p>
    <w:p>
      <w:pPr>
        <w:spacing w:before="100" w:after="18"/>
        <w:pBdr>
          <w:bottom w:val="single" w:sz="8" w:space="4" w:color="2B547E"/>
        </w:pBdr>
      </w:pPr>
      <w:r>
        <w:rPr>
          <w:rFonts w:ascii="Arial" w:hAnsi="Arial"/>
          <w:b/>
          <w:i w:val="0"/>
          <w:color w:val="2B547E"/>
          <w:sz w:val="19"/>
        </w:rPr>
        <w:t>AI/ML RESEARCH &amp; PROJECTS</w:t>
      </w:r>
    </w:p>
    <w:p>
      <w:pPr>
        <w:spacing w:before="45" w:after="5"/>
      </w:pPr>
      <w:r>
        <w:rPr>
          <w:rFonts w:ascii="Arial" w:hAnsi="Arial"/>
          <w:b/>
          <w:i w:val="0"/>
          <w:color w:val="1A1A1A"/>
          <w:sz w:val="16"/>
        </w:rPr>
        <w:t>AutoEval — Automated Visual Evaluation for Robot Model Training</w:t>
      </w:r>
      <w:r>
        <w:rPr>
          <w:rFonts w:ascii="Arial" w:hAnsi="Arial"/>
          <w:b w:val="0"/>
          <w:i w:val="0"/>
          <w:color w:val="888888"/>
          <w:sz w:val="15"/>
        </w:rPr>
        <w:t xml:space="preserve">  (2025)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Repurposed StreamIO's real-time screen capture + HLS streaming + multimodal AI pipeline to score robot model outputs (grasp poses, segmentation maps, bounding boxes) against natural-language rubrics — reducing evaluation cycles from 72 hours to ~4 minutes.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Zero-integration architecture captures from any visualization tool via screen capture; multimodal AI (Claude/GPT-4V) performs spatial reasoning on prediction frames, generating structured PASS/FAIL reports with confidence scores.</w:t>
      </w:r>
    </w:p>
    <w:p>
      <w:pPr>
        <w:spacing w:before="45" w:after="5"/>
      </w:pPr>
      <w:r>
        <w:rPr>
          <w:rFonts w:ascii="Arial" w:hAnsi="Arial"/>
          <w:b/>
          <w:i w:val="0"/>
          <w:color w:val="1A1A1A"/>
          <w:sz w:val="16"/>
        </w:rPr>
        <w:t>RL Workbench — Post-Training RL Platform</w:t>
      </w:r>
      <w:r>
        <w:rPr>
          <w:rFonts w:ascii="Arial" w:hAnsi="Arial"/>
          <w:b w:val="0"/>
          <w:i w:val="0"/>
          <w:color w:val="888888"/>
          <w:sz w:val="15"/>
        </w:rPr>
        <w:t xml:space="preserve">  (2026)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Built 3-phase RL post-training workbench: Reward Lab for A/B testing reward functions (RLVR, learned, hybrid), Playground for real TRL-powered GRPO/DPO training with live SSE metric streaming, and Arena for head-to-head framework benchmarking (TRL, VeRL, OpenRLHF, NeMo RL) with GPU Docker passthrough.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Implemented 12 RL algorithms (PPO, GRPO, DAPO, DPO, SimPO, KTO, ORPO, and more) with standardized throughput/memory/convergence benchmarking across frameworks.</w:t>
      </w:r>
    </w:p>
    <w:p>
      <w:pPr>
        <w:spacing w:before="45" w:after="5"/>
      </w:pPr>
      <w:r>
        <w:rPr>
          <w:rFonts w:ascii="Arial" w:hAnsi="Arial"/>
          <w:b/>
          <w:i w:val="0"/>
          <w:color w:val="1A1A1A"/>
          <w:sz w:val="16"/>
        </w:rPr>
        <w:t>aeval — AI Model Evaluation Platform</w:t>
      </w:r>
      <w:r>
        <w:rPr>
          <w:rFonts w:ascii="Arial" w:hAnsi="Arial"/>
          <w:b w:val="0"/>
          <w:i w:val="0"/>
          <w:color w:val="888888"/>
          <w:sz w:val="15"/>
        </w:rPr>
        <w:t xml:space="preserve">  (2025–2026)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Built local-first evaluation platform with 5 core eval types, adversarial safety testing with refusal detection, bootstrap confidence intervals, Welch's t-test, and Cohen's d effect size. Stack: FastAPI, TimescaleDB, Redis, Next.js, Ollama.</w:t>
      </w:r>
    </w:p>
    <w:p>
      <w:pPr>
        <w:spacing w:before="45" w:after="5"/>
      </w:pPr>
      <w:r>
        <w:rPr>
          <w:rFonts w:ascii="Arial" w:hAnsi="Arial"/>
          <w:b/>
          <w:i w:val="0"/>
          <w:color w:val="1A1A1A"/>
          <w:sz w:val="16"/>
        </w:rPr>
        <w:t>NeurIPS 2014 — Montreal, Canada</w:t>
      </w:r>
      <w:r>
        <w:rPr>
          <w:rFonts w:ascii="Arial" w:hAnsi="Arial"/>
          <w:b w:val="0"/>
          <w:i w:val="0"/>
          <w:color w:val="888888"/>
          <w:sz w:val="15"/>
        </w:rPr>
        <w:t xml:space="preserve">  (2014)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Accepted paper on artificial neural networks for protein secondary structure prediction.</w:t>
      </w:r>
    </w:p>
    <w:p>
      <w:pPr>
        <w:spacing w:before="100" w:after="18"/>
        <w:pBdr>
          <w:bottom w:val="single" w:sz="8" w:space="4" w:color="2B547E"/>
        </w:pBdr>
      </w:pPr>
      <w:r>
        <w:rPr>
          <w:rFonts w:ascii="Arial" w:hAnsi="Arial"/>
          <w:b/>
          <w:i w:val="0"/>
          <w:color w:val="2B547E"/>
          <w:sz w:val="19"/>
        </w:rPr>
        <w:t>EDUCATION</w:t>
      </w:r>
    </w:p>
    <w:p>
      <w:pPr>
        <w:spacing w:before="28" w:after="2"/>
      </w:pPr>
      <w:r>
        <w:rPr>
          <w:rFonts w:ascii="Arial" w:hAnsi="Arial"/>
          <w:b/>
          <w:i w:val="0"/>
          <w:color w:val="1A1A1A"/>
          <w:sz w:val="17"/>
        </w:rPr>
        <w:t>CARNEGIE MELLON UNIVERSITY, SILICON VALLEY</w:t>
      </w:r>
    </w:p>
    <w:p>
      <w:pPr>
        <w:spacing w:before="0" w:after="5"/>
      </w:pPr>
      <w:r>
        <w:rPr>
          <w:rFonts w:ascii="Arial" w:hAnsi="Arial"/>
          <w:b w:val="0"/>
          <w:i w:val="0"/>
          <w:color w:val="555555"/>
          <w:sz w:val="16"/>
        </w:rPr>
        <w:t>Master of Science — Software Management</w:t>
      </w:r>
      <w:r>
        <w:rPr>
          <w:rFonts w:ascii="Arial" w:hAnsi="Arial"/>
          <w:b w:val="0"/>
          <w:i w:val="0"/>
          <w:color w:val="888888"/>
          <w:sz w:val="15"/>
        </w:rPr>
        <w:t xml:space="preserve">    Mountain View, CA (08/16)</w:t>
      </w:r>
    </w:p>
    <w:p>
      <w:pPr>
        <w:spacing w:before="28" w:after="2"/>
      </w:pPr>
      <w:r>
        <w:rPr>
          <w:rFonts w:ascii="Arial" w:hAnsi="Arial"/>
          <w:b/>
          <w:i w:val="0"/>
          <w:color w:val="1A1A1A"/>
          <w:sz w:val="17"/>
        </w:rPr>
        <w:t>CARNEGIE MELLON, TEPPER SCHOOL OF BUSINESS</w:t>
      </w:r>
    </w:p>
    <w:p>
      <w:pPr>
        <w:spacing w:before="0" w:after="5"/>
      </w:pPr>
      <w:r>
        <w:rPr>
          <w:rFonts w:ascii="Arial" w:hAnsi="Arial"/>
          <w:b w:val="0"/>
          <w:i w:val="0"/>
          <w:color w:val="555555"/>
          <w:sz w:val="16"/>
        </w:rPr>
        <w:t>Master of Business Administration — Finance, Quantitative Analysis, Economics</w:t>
      </w:r>
      <w:r>
        <w:rPr>
          <w:rFonts w:ascii="Arial" w:hAnsi="Arial"/>
          <w:b w:val="0"/>
          <w:i w:val="0"/>
          <w:color w:val="888888"/>
          <w:sz w:val="15"/>
        </w:rPr>
        <w:t xml:space="preserve">    Pittsburgh, PA (03/12)</w:t>
      </w:r>
    </w:p>
    <w:p>
      <w:pPr>
        <w:spacing w:before="28" w:after="2"/>
      </w:pPr>
      <w:r>
        <w:rPr>
          <w:rFonts w:ascii="Arial" w:hAnsi="Arial"/>
          <w:b/>
          <w:i w:val="0"/>
          <w:color w:val="1A1A1A"/>
          <w:sz w:val="17"/>
        </w:rPr>
        <w:t>UC BERKELEY, COLLEGE OF ENGINEERING &amp; HAAS SCHOOL OF BUSINESS</w:t>
      </w:r>
    </w:p>
    <w:p>
      <w:pPr>
        <w:spacing w:before="0" w:after="5"/>
      </w:pPr>
      <w:r>
        <w:rPr>
          <w:rFonts w:ascii="Arial" w:hAnsi="Arial"/>
          <w:b w:val="0"/>
          <w:i w:val="0"/>
          <w:color w:val="555555"/>
          <w:sz w:val="16"/>
        </w:rPr>
        <w:t>Bachelor of Science — Computational Engineering Science</w:t>
      </w:r>
      <w:r>
        <w:rPr>
          <w:rFonts w:ascii="Arial" w:hAnsi="Arial"/>
          <w:b w:val="0"/>
          <w:i w:val="0"/>
          <w:color w:val="888888"/>
          <w:sz w:val="15"/>
        </w:rPr>
        <w:t xml:space="preserve">    Berkeley, CA (12/05)</w:t>
      </w:r>
    </w:p>
    <w:p>
      <w:pPr>
        <w:spacing w:before="0" w:after="5"/>
      </w:pPr>
      <w:r>
        <w:rPr>
          <w:rFonts w:ascii="Arial" w:hAnsi="Arial"/>
          <w:b w:val="0"/>
          <w:i w:val="0"/>
          <w:color w:val="555555"/>
          <w:sz w:val="16"/>
        </w:rPr>
        <w:t>Certificate — Corporate Finance for Financial Engineering</w:t>
      </w:r>
    </w:p>
    <w:p>
      <w:pPr>
        <w:spacing w:before="100" w:after="18"/>
        <w:pBdr>
          <w:bottom w:val="single" w:sz="8" w:space="4" w:color="2B547E"/>
        </w:pBdr>
      </w:pPr>
      <w:r>
        <w:rPr>
          <w:rFonts w:ascii="Arial" w:hAnsi="Arial"/>
          <w:b/>
          <w:i w:val="0"/>
          <w:color w:val="2B547E"/>
          <w:sz w:val="19"/>
        </w:rPr>
        <w:t>TEACHING EXPERIENCE</w:t>
      </w:r>
    </w:p>
    <w:p>
      <w:pPr>
        <w:spacing w:before="55" w:after="0"/>
      </w:pPr>
      <w:r>
        <w:rPr>
          <w:rFonts w:ascii="Arial" w:hAnsi="Arial"/>
          <w:b/>
          <w:i w:val="0"/>
          <w:color w:val="1A1A1A"/>
          <w:sz w:val="17"/>
        </w:rPr>
        <w:t>DE ANZA COLLEGE</w:t>
      </w:r>
      <w:r>
        <w:rPr>
          <w:rFonts w:ascii="Arial" w:hAnsi="Arial"/>
          <w:b w:val="0"/>
          <w:i w:val="0"/>
          <w:color w:val="888888"/>
          <w:sz w:val="15"/>
        </w:rPr>
        <w:t xml:space="preserve">  |  Cupertino, CA</w:t>
      </w:r>
    </w:p>
    <w:p>
      <w:pPr>
        <w:spacing w:before="3" w:after="10"/>
      </w:pPr>
      <w:r>
        <w:rPr>
          <w:rFonts w:ascii="Arial" w:hAnsi="Arial"/>
          <w:b w:val="0"/>
          <w:i/>
          <w:color w:val="555555"/>
          <w:sz w:val="16"/>
        </w:rPr>
        <w:t>Adjunct Faculty — Computer Information Systems Department</w:t>
      </w:r>
      <w:r>
        <w:rPr>
          <w:rFonts w:ascii="Arial" w:hAnsi="Arial"/>
          <w:b w:val="0"/>
          <w:i w:val="0"/>
          <w:color w:val="888888"/>
          <w:sz w:val="15"/>
        </w:rPr>
        <w:t xml:space="preserve">    04/18 – Present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Java Programming, PL/SQL, Data Analytics, Large Scale Cloud Computing (AWS, GCP), Ethical Hacking, Digital Forensics, Managing Cloud Projects.</w:t>
      </w:r>
    </w:p>
    <w:p>
      <w:pPr>
        <w:spacing w:before="100" w:after="18"/>
        <w:pBdr>
          <w:bottom w:val="single" w:sz="8" w:space="4" w:color="2B547E"/>
        </w:pBdr>
      </w:pPr>
      <w:r>
        <w:rPr>
          <w:rFonts w:ascii="Arial" w:hAnsi="Arial"/>
          <w:b/>
          <w:i w:val="0"/>
          <w:color w:val="2B547E"/>
          <w:sz w:val="19"/>
        </w:rPr>
        <w:t>ADDITIONAL INFORMATION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FAA Commercial Drone License; FAA Private Pilot License (intended CFI)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O'Reilly &amp; OER Publications: Data Analytics and Managing Cloud Projects (forthcoming Summer 2026)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First Tee Assistant Golf Coach — San Francisco Chapter (2012–Present)</w:t>
      </w:r>
    </w:p>
    <w:p>
      <w:pPr>
        <w:spacing w:before="4" w:after="4"/>
        <w:ind w:left="360" w:hanging="200"/>
      </w:pPr>
      <w:r>
        <w:rPr>
          <w:rFonts w:ascii="Arial" w:hAnsi="Arial"/>
          <w:b w:val="0"/>
          <w:i w:val="0"/>
          <w:color w:val="1A1A1A"/>
          <w:sz w:val="16"/>
        </w:rPr>
        <w:t>•</w:t>
        <w:tab/>
      </w:r>
      <w:r>
        <w:rPr>
          <w:rFonts w:ascii="Arial" w:hAnsi="Arial"/>
          <w:b w:val="0"/>
          <w:i w:val="0"/>
          <w:color w:val="1A1A1A"/>
          <w:sz w:val="16"/>
        </w:rPr>
        <w:t>Interests: Classical &amp; Jazz Saxophone (Alto/Tenor/Baritone), Triathlon, Golf, Intramural Basketball &amp; Soccer</w:t>
      </w:r>
    </w:p>
    <w:sectPr w:rsidR="00FC693F" w:rsidRPr="0006063C" w:rsidSect="00034616">
      <w:pgSz w:w="12240" w:h="15840"/>
      <w:pgMar w:top="380" w:right="560" w:bottom="380" w:left="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felixamoruwa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