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center"/>
      </w:pPr>
      <w:r>
        <w:rPr>
          <w:rFonts w:ascii="Arial" w:hAnsi="Arial"/>
          <w:b/>
          <w:i w:val="0"/>
          <w:color w:val="1A1A1A"/>
          <w:sz w:val="26"/>
        </w:rPr>
        <w:t>O. FELIX AMORUWA</w:t>
      </w:r>
    </w:p>
    <w:p>
      <w:pPr>
        <w:spacing w:before="0" w:after="10"/>
        <w:jc w:val="center"/>
      </w:pPr>
      <w:r>
        <w:rPr>
          <w:rFonts w:ascii="Arial" w:hAnsi="Arial"/>
          <w:b w:val="0"/>
          <w:i w:val="0"/>
          <w:color w:val="555555"/>
          <w:sz w:val="16"/>
        </w:rPr>
        <w:t xml:space="preserve">famoruwa@berkeley.edu  |  909-731-9011  |  </w:t>
      </w:r>
      <w:hyperlink r:id="rId9">
        <w:r>
          <w:rPr>
            <w:rFonts w:ascii="Arial" w:hAnsi="Arial"/>
            <w:sz w:val="16"/>
            <w:color w:val="2B547E"/>
            <w:u w:val="single"/>
          </w:rPr>
          <w:t xml:space="preserve">felixamoruwa.info</w:t>
        </w:r>
      </w:hyperlink>
    </w:p>
    <w:p>
      <w:pPr>
        <w:spacing w:before="60" w:after="60"/>
      </w:pPr>
      <w:r>
        <w:rPr>
          <w:rFonts w:ascii="Arial" w:hAnsi="Arial"/>
          <w:b w:val="0"/>
          <w:i w:val="0"/>
          <w:color w:val="555555"/>
          <w:sz w:val="16"/>
        </w:rPr>
        <w:t>Technical Product Manager with 12+ years building AI frameworks, developer-facing platforms, and post-training infrastructure at scale — from hand-coding BPTT in C++ to benchmarking GRPO/DPO across TRL, VeRL, OpenRLHF, and NeMo RL on GPU today. NeurIPS-published ML researcher with deep knowledge of the training/post-training landscape and E2E ML lifecycle. Scaled large-scale distributed systems to 675M+ engagements and 50K TPS at Intuit; shipped developer SDKs, OSS-style DevPortals, and research-to-production tooling adopted across 30+ product SKUs. Rare blend of product strategy, technical depth, and hands-on GPU-aware framework building.</w:t>
      </w:r>
    </w:p>
    <w:p>
      <w:pPr>
        <w:spacing w:before="100" w:after="20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9"/>
        </w:rPr>
        <w:t>PROFESSIONAL EXPERIENCE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INTUIT</w:t>
      </w:r>
      <w:r>
        <w:rPr>
          <w:rFonts w:ascii="Arial" w:hAnsi="Arial"/>
          <w:b w:val="0"/>
          <w:i w:val="0"/>
          <w:color w:val="888888"/>
          <w:sz w:val="15"/>
        </w:rPr>
        <w:t xml:space="preserve">  |  Mountain View, CA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7"/>
        </w:rPr>
        <w:t>Staff Product Manager — Developer Frameworks &amp; Platform Infrastructure</w:t>
      </w:r>
      <w:r>
        <w:rPr>
          <w:rFonts w:ascii="Arial" w:hAnsi="Arial"/>
          <w:b w:val="0"/>
          <w:i w:val="0"/>
          <w:color w:val="888888"/>
          <w:sz w:val="15"/>
        </w:rPr>
        <w:t xml:space="preserve">    06/21 – 09/24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Achieved 275% YoY growth in ICE framework engagements, scaling to 675M+ in FY23 across QuickBooks, TurboTax, Mint, Mailchimp, and Credit Karma; scaled large-scale distributed throughput from 6K to 50K TPS via rSocket migration supporting ~1.5M concurrent connections with sub-25ms TP99.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Extended Java and Python SDK Starter Kits with scaffolding templates, build configurations (Gradle/Maven), testing frameworks, and CI/CD integration — enabling developers to go from zero to production-ready microservice in minutes; model for OSS-style developer product delivery.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Delivered ICE Self-Service platform (DevPortal, GitOps config, ICE Playground), reducing developer onboarding from 2–3 weeks to minutes in pre-prod and &lt;24 hours for production, while mitigating $1M+ in projected opex growth.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Conducted enterprise-wide Service Language Assessment across 9 languages (Java, Python, Kotlin, Go, TypeScript, Scala, PHP, C++, Groovy), analyzing usage data and developer feedback to inform strategic language investment decisions presented to CTO.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Used SQL and BigQuery telemetry to prioritize developer pain points across ~20 mobile apps and 30+ product SKUs; built Asterias, a declarative asset lifecycle management platform with GraphQL API.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Led Mailchimp GCP-to-AWS migration for MSaaS and initiated Drift Detection program: authored Java JAR library to scan Git repos for configuration drift and built remediation roadmap using OpenRewrite.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Implemented ICE Presence in async chat, generating $480K/month in additional invoicing; deployed Background-to-Foreground Messaging on iOS/Android with &lt;100ms latency. DeveloperWeek 2022 speaker.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STREAMIO AI</w:t>
      </w:r>
      <w:r>
        <w:rPr>
          <w:rFonts w:ascii="Arial" w:hAnsi="Arial"/>
          <w:b w:val="0"/>
          <w:i w:val="0"/>
          <w:color w:val="888888"/>
          <w:sz w:val="15"/>
        </w:rPr>
        <w:t xml:space="preserve">  |  Oakland, CA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7"/>
        </w:rPr>
        <w:t>Founder &amp; CEO — streamio.ai (macOS, Linux, iOS &amp; Web)</w:t>
      </w:r>
      <w:r>
        <w:rPr>
          <w:rFonts w:ascii="Arial" w:hAnsi="Arial"/>
          <w:b w:val="0"/>
          <w:i w:val="0"/>
          <w:color w:val="888888"/>
          <w:sz w:val="15"/>
        </w:rPr>
        <w:t xml:space="preserve">    09/24 – Present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Implemented OpenClaw multi-agent orchestration framework with gateway protocol and subagent delegation — enabling coordinated AI agent workflows and serving as a hands-on OSS-style developer product with deep customer interactions.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Built production Electron + React + TypeScript desktop application with 100+ components, Redux Toolkit state management, and native macOS/Linux support — providing real-time AI analysis via Claude (MCP SDK) and exposing screen capture tools to AI coding assistants.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Led 0-to-1 product strategy, AI framework development, and go-to-market execution including customer discovery interviews and iterative product refinement across real estate, insurance, and financial markets verticals.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FINTELLECT AI</w:t>
      </w:r>
      <w:r>
        <w:rPr>
          <w:rFonts w:ascii="Arial" w:hAnsi="Arial"/>
          <w:b w:val="0"/>
          <w:i w:val="0"/>
          <w:color w:val="888888"/>
          <w:sz w:val="15"/>
        </w:rPr>
        <w:t xml:space="preserve">  |  Oakland, CA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7"/>
        </w:rPr>
        <w:t>Founder &amp; CEO — fintellectai.io (iOS/Android/Web)</w:t>
      </w:r>
      <w:r>
        <w:rPr>
          <w:rFonts w:ascii="Arial" w:hAnsi="Arial"/>
          <w:b w:val="0"/>
          <w:i w:val="0"/>
          <w:color w:val="888888"/>
          <w:sz w:val="15"/>
        </w:rPr>
        <w:t xml:space="preserve">    09/24 – Present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Architected RAG retrieval pipeline with ChromaDB vector store, multi-provider LLM orchestration (Claude, GPT-4, Gemini) with fallback routing, structured output validation, and token budget optimization — delivering GenAI-powered financial advisory at scale.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Built domain-specific conversational AI agents scoped to distinct financial focal points; executed go-to-market through App Store launch following customer discovery and influencer partnerships.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SPLUNK INC.</w:t>
      </w:r>
      <w:r>
        <w:rPr>
          <w:rFonts w:ascii="Arial" w:hAnsi="Arial"/>
          <w:b w:val="0"/>
          <w:i w:val="0"/>
          <w:color w:val="888888"/>
          <w:sz w:val="15"/>
        </w:rPr>
        <w:t xml:space="preserve">  |  San Francisco, CA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7"/>
        </w:rPr>
        <w:t>Senior Product Manager — Search Orchestration</w:t>
      </w:r>
      <w:r>
        <w:rPr>
          <w:rFonts w:ascii="Arial" w:hAnsi="Arial"/>
          <w:b w:val="0"/>
          <w:i w:val="0"/>
          <w:color w:val="888888"/>
          <w:sz w:val="15"/>
        </w:rPr>
        <w:t xml:space="preserve">    01/19 – 01/21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Owned Search Service (Go microservices), Search Catalog (PostgreSQL metadata service), and Splunk Processing Language (SPL/SPL2) — built product roadmaps, PRDs, and acceptance criteria for Splunk Cloud Services (SCS).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Led query performance optimization initiative for beta customer, building mirrored Enterprise topology for benchmark testing and achieving up to 10x performance improvements in SCS search — directly analogous to GPU performance profiling and optimization.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Delivered Scheduler Service end-to-end in ~4 months; designed RICE-based prioritization framework across 3 microservice backlogs balancing Fortune 500 and third-party developer requirements. Splunk .conf18/.conf19 speaker.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KAISER PERMANENTE</w:t>
      </w:r>
      <w:r>
        <w:rPr>
          <w:rFonts w:ascii="Arial" w:hAnsi="Arial"/>
          <w:b w:val="0"/>
          <w:i w:val="0"/>
          <w:color w:val="888888"/>
          <w:sz w:val="15"/>
        </w:rPr>
        <w:t xml:space="preserve">  |  Pleasanton, CA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7"/>
        </w:rPr>
        <w:t>SOA Technical Product Manager</w:t>
      </w:r>
      <w:r>
        <w:rPr>
          <w:rFonts w:ascii="Arial" w:hAnsi="Arial"/>
          <w:b w:val="0"/>
          <w:i w:val="0"/>
          <w:color w:val="888888"/>
          <w:sz w:val="15"/>
        </w:rPr>
        <w:t xml:space="preserve">    08/12 – 12/18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Led development and enterprise rollout of Splunk Logging-as-a-Service (1.7 TB daily volume, 200+ internal enterprise customers) and ITSI Application Monitoring-as-a-Service.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Built Redis caching capability across the enterprise to address scalability, fault tolerance, and data redundancy challenges; led demand forecasting and capacity planning across multiple datacenters.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IBM</w:t>
      </w:r>
      <w:r>
        <w:rPr>
          <w:rFonts w:ascii="Arial" w:hAnsi="Arial"/>
          <w:b w:val="0"/>
          <w:i w:val="0"/>
          <w:color w:val="888888"/>
          <w:sz w:val="15"/>
        </w:rPr>
        <w:t xml:space="preserve">  |  Pittsburgh, PA / Foster City, CA / RTP, NC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7"/>
        </w:rPr>
        <w:t>Software Engineer — Business Intelligence Products</w:t>
      </w:r>
      <w:r>
        <w:rPr>
          <w:rFonts w:ascii="Arial" w:hAnsi="Arial"/>
          <w:b w:val="0"/>
          <w:i w:val="0"/>
          <w:color w:val="888888"/>
          <w:sz w:val="15"/>
        </w:rPr>
        <w:t xml:space="preserve">    07/05 – 03/10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Resolved multiple $1–5M high-severity customer escalations for enterprise BI software; led cross-functional root cause analysis improving case resolution time by 20% across the Support Organization.</w:t>
      </w:r>
    </w:p>
    <w:p>
      <w:pPr>
        <w:spacing w:before="100" w:after="20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9"/>
        </w:rPr>
        <w:t>AI/ML RESEARCH &amp; PROJECTS</w:t>
      </w:r>
    </w:p>
    <w:p>
      <w:pPr>
        <w:spacing w:before="45" w:after="5"/>
      </w:pPr>
      <w:r>
        <w:rPr>
          <w:rFonts w:ascii="Arial" w:hAnsi="Arial"/>
          <w:b/>
          <w:i w:val="0"/>
          <w:color w:val="1A1A1A"/>
          <w:sz w:val="16"/>
        </w:rPr>
        <w:t>RL Workbench — Post-Training RL Platform</w:t>
      </w:r>
      <w:r>
        <w:rPr>
          <w:rFonts w:ascii="Arial" w:hAnsi="Arial"/>
          <w:b w:val="0"/>
          <w:i w:val="0"/>
          <w:color w:val="888888"/>
          <w:sz w:val="15"/>
        </w:rPr>
        <w:t xml:space="preserve">  (2026)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Built 3-phase post-training workbench covering the full RLHF/DPO pipeline: Reward Lab for designing and A/B testing reward functions (RLVR, learned, hybrid) across 4 datasets (GSM8K, MATH, HumanEval, UltraFeedback), Playground for real TRL-powered GRPO/DPO training with live SSE metric streaming on Apple Silicon (MPS) or CUDA, and Arena for head-to-head framework benchmarking (TRL, VeRL, OpenRLHF, NeMo RL) with GPU Docker passthrough.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Implemented 12 RL algorithms (PPO, GRPO, DAPO, REINFORCE, REINFORCE++, RLOO, DPO, SimPO, IPO, KTO, ORPO, SPPO) with algorithm-specific metric profiles and standardized throughput/memory/convergence benchmarking across frameworks — directly applicable to optimizing AI frameworks on NVIDIA GPUs.</w:t>
      </w:r>
    </w:p>
    <w:p>
      <w:pPr>
        <w:spacing w:before="45" w:after="5"/>
      </w:pPr>
      <w:r>
        <w:rPr>
          <w:rFonts w:ascii="Arial" w:hAnsi="Arial"/>
          <w:b/>
          <w:i w:val="0"/>
          <w:color w:val="1A1A1A"/>
          <w:sz w:val="16"/>
        </w:rPr>
        <w:t>aeval — AI Model Evaluation Platform</w:t>
      </w:r>
      <w:r>
        <w:rPr>
          <w:rFonts w:ascii="Arial" w:hAnsi="Arial"/>
          <w:b w:val="0"/>
          <w:i w:val="0"/>
          <w:color w:val="888888"/>
          <w:sz w:val="15"/>
        </w:rPr>
        <w:t xml:space="preserve">  (2025–2026)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Built local-first evaluation platform with 5 core eval types (factuality, reasoning, instruction-following, safety, code generation), adversarial safety testing, and CI/CD regression detection with automated safety gates.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Statistical rigor: bootstrap confidence intervals, Welch's t-test, Cohen's d effect size, saturation detection. Stack: FastAPI orchestrator, TimescaleDB, Redis job queue, Next.js dashboard, Ollama.</w:t>
      </w:r>
    </w:p>
    <w:p>
      <w:pPr>
        <w:spacing w:before="45" w:after="5"/>
      </w:pPr>
      <w:r>
        <w:rPr>
          <w:rFonts w:ascii="Arial" w:hAnsi="Arial"/>
          <w:b/>
          <w:i w:val="0"/>
          <w:color w:val="1A1A1A"/>
          <w:sz w:val="16"/>
        </w:rPr>
        <w:t>BRAIN — Protein Structure Prediction ML Platform</w:t>
      </w:r>
      <w:r>
        <w:rPr>
          <w:rFonts w:ascii="Arial" w:hAnsi="Arial"/>
          <w:b w:val="0"/>
          <w:i w:val="0"/>
          <w:color w:val="888888"/>
          <w:sz w:val="15"/>
        </w:rPr>
        <w:t xml:space="preserve">  (UC Berkeley 2004; rewritten 2026)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NeurIPS 2014 accepted paper on neural networks for protein secondary structure prediction; 2026 rewrite spans 413 to 8B parameters (19M-fold scale increase) across 5 architectures (feedforward, GRU, Transformer, ESM-2, multi-task) with MLflow, Optuna HPO, and FastAPI serving.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Original 2004 system: hand-coded neural network in C++ with custom BPTT — foundational ML depth underpinning current post-training and deep learning framework work.</w:t>
      </w:r>
    </w:p>
    <w:p>
      <w:pPr>
        <w:spacing w:before="45" w:after="5"/>
      </w:pPr>
      <w:r>
        <w:rPr>
          <w:rFonts w:ascii="Arial" w:hAnsi="Arial"/>
          <w:b/>
          <w:i w:val="0"/>
          <w:color w:val="1A1A1A"/>
          <w:sz w:val="16"/>
        </w:rPr>
        <w:t>AutoEval — Automated Visual Evaluation for Robot Model Training</w:t>
      </w:r>
      <w:r>
        <w:rPr>
          <w:rFonts w:ascii="Arial" w:hAnsi="Arial"/>
          <w:b w:val="0"/>
          <w:i w:val="0"/>
          <w:color w:val="888888"/>
          <w:sz w:val="15"/>
        </w:rPr>
        <w:t xml:space="preserve">  (2025)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Reduced model evaluation cycles from 72 hours to ~4 minutes using multimodal AI (Claude/GPT-4V) spatial reasoning on prediction frames; zero-integration architecture captures from any visualization tool (RViz, Matplotlib) via screen capture, generating structured PASS/FAIL reports with confidence scores.</w:t>
      </w:r>
    </w:p>
    <w:p>
      <w:pPr>
        <w:spacing w:before="100" w:after="20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9"/>
        </w:rPr>
        <w:t>EDUCATION</w:t>
      </w:r>
    </w:p>
    <w:p>
      <w:pPr>
        <w:spacing w:before="28" w:after="2"/>
      </w:pPr>
      <w:r>
        <w:rPr>
          <w:rFonts w:ascii="Arial" w:hAnsi="Arial"/>
          <w:b/>
          <w:i w:val="0"/>
          <w:color w:val="1A1A1A"/>
          <w:sz w:val="17"/>
        </w:rPr>
        <w:t>CARNEGIE MELLON UNIVERSITY, SILICON VALLEY</w:t>
      </w:r>
    </w:p>
    <w:p>
      <w:pPr>
        <w:spacing w:before="0" w:after="5"/>
      </w:pPr>
      <w:r>
        <w:rPr>
          <w:rFonts w:ascii="Arial" w:hAnsi="Arial"/>
          <w:b w:val="0"/>
          <w:i w:val="0"/>
          <w:color w:val="555555"/>
          <w:sz w:val="16"/>
        </w:rPr>
        <w:t>Master of Science — Software Management</w:t>
      </w:r>
      <w:r>
        <w:rPr>
          <w:rFonts w:ascii="Arial" w:hAnsi="Arial"/>
          <w:b w:val="0"/>
          <w:i w:val="0"/>
          <w:color w:val="888888"/>
          <w:sz w:val="15"/>
        </w:rPr>
        <w:t xml:space="preserve">    Mountain View, CA (08/16)</w:t>
      </w:r>
    </w:p>
    <w:p>
      <w:pPr>
        <w:spacing w:before="28" w:after="2"/>
      </w:pPr>
      <w:r>
        <w:rPr>
          <w:rFonts w:ascii="Arial" w:hAnsi="Arial"/>
          <w:b/>
          <w:i w:val="0"/>
          <w:color w:val="1A1A1A"/>
          <w:sz w:val="17"/>
        </w:rPr>
        <w:t>CARNEGIE MELLON, TEPPER SCHOOL OF BUSINESS</w:t>
      </w:r>
    </w:p>
    <w:p>
      <w:pPr>
        <w:spacing w:before="0" w:after="5"/>
      </w:pPr>
      <w:r>
        <w:rPr>
          <w:rFonts w:ascii="Arial" w:hAnsi="Arial"/>
          <w:b w:val="0"/>
          <w:i w:val="0"/>
          <w:color w:val="555555"/>
          <w:sz w:val="16"/>
        </w:rPr>
        <w:t>Master of Business Administration — Concentrations: Finance, Quantitative Analysis, Economics</w:t>
      </w:r>
      <w:r>
        <w:rPr>
          <w:rFonts w:ascii="Arial" w:hAnsi="Arial"/>
          <w:b w:val="0"/>
          <w:i w:val="0"/>
          <w:color w:val="888888"/>
          <w:sz w:val="15"/>
        </w:rPr>
        <w:t xml:space="preserve">    Pittsburgh, PA (03/12)</w:t>
      </w:r>
    </w:p>
    <w:p>
      <w:pPr>
        <w:spacing w:before="28" w:after="2"/>
      </w:pPr>
      <w:r>
        <w:rPr>
          <w:rFonts w:ascii="Arial" w:hAnsi="Arial"/>
          <w:b/>
          <w:i w:val="0"/>
          <w:color w:val="1A1A1A"/>
          <w:sz w:val="17"/>
        </w:rPr>
        <w:t>UC BERKELEY, COLLEGE OF ENGINEERING &amp; HAAS SCHOOL OF BUSINESS</w:t>
      </w:r>
    </w:p>
    <w:p>
      <w:pPr>
        <w:spacing w:before="0" w:after="5"/>
      </w:pPr>
      <w:r>
        <w:rPr>
          <w:rFonts w:ascii="Arial" w:hAnsi="Arial"/>
          <w:b w:val="0"/>
          <w:i w:val="0"/>
          <w:color w:val="555555"/>
          <w:sz w:val="16"/>
        </w:rPr>
        <w:t>Bachelor of Science — Computational Engineering Science</w:t>
      </w:r>
      <w:r>
        <w:rPr>
          <w:rFonts w:ascii="Arial" w:hAnsi="Arial"/>
          <w:b w:val="0"/>
          <w:i w:val="0"/>
          <w:color w:val="888888"/>
          <w:sz w:val="15"/>
        </w:rPr>
        <w:t xml:space="preserve">    Berkeley, CA (12/05)</w:t>
      </w:r>
    </w:p>
    <w:p>
      <w:pPr>
        <w:spacing w:before="0" w:after="5"/>
      </w:pPr>
      <w:r>
        <w:rPr>
          <w:rFonts w:ascii="Arial" w:hAnsi="Arial"/>
          <w:b w:val="0"/>
          <w:i w:val="0"/>
          <w:color w:val="555555"/>
          <w:sz w:val="16"/>
        </w:rPr>
        <w:t>Certificate — Corporate Finance for Financial Engineering</w:t>
      </w:r>
    </w:p>
    <w:p>
      <w:pPr>
        <w:spacing w:before="100" w:after="20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9"/>
        </w:rPr>
        <w:t>TEACHING EXPERIENCE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DE ANZA COLLEGE</w:t>
      </w:r>
      <w:r>
        <w:rPr>
          <w:rFonts w:ascii="Arial" w:hAnsi="Arial"/>
          <w:b w:val="0"/>
          <w:i w:val="0"/>
          <w:color w:val="888888"/>
          <w:sz w:val="15"/>
        </w:rPr>
        <w:t xml:space="preserve">  |  Cupertino, CA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7"/>
        </w:rPr>
        <w:t>Adjunct Faculty — Computer Information Systems Department</w:t>
      </w:r>
      <w:r>
        <w:rPr>
          <w:rFonts w:ascii="Arial" w:hAnsi="Arial"/>
          <w:b w:val="0"/>
          <w:i w:val="0"/>
          <w:color w:val="888888"/>
          <w:sz w:val="15"/>
        </w:rPr>
        <w:t xml:space="preserve">    04/18 – Present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CIS 35A/B, 36A/B — Java Programming; CIS 44F — Introduction to Data Analytics; CIS 64E — Fundamentals of Large Scale Cloud Computing (AWS, GCP); CIS 102 — Ethical Hacking; CIS 104 — Digital Forensics; CIS 95F — Managing Cloud Projects.</w:t>
      </w:r>
    </w:p>
    <w:p>
      <w:pPr>
        <w:spacing w:before="100" w:after="20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9"/>
        </w:rPr>
        <w:t>ADDITIONAL INFORMATION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FAA Commercial Drone License; FAA Private Pilot License (intended CFI)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O'Reilly &amp; OER Publications: Data Analytics and Managing Cloud Projects (forthcoming Summer 2026)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First Tee Assistant Golf Coach — San Francisco Chapter (2012–Present), Pittsburgh Chapter (2011–2012)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Interests: Classical &amp; Jazz Saxophone (Alto/Tenor/Baritone), Triathlon, Golf, Intramural Basketball &amp; Soccer</w:t>
      </w:r>
    </w:p>
    <w:sectPr w:rsidR="00FC693F" w:rsidRPr="0006063C" w:rsidSect="00034616">
      <w:pgSz w:w="12240" w:h="15840"/>
      <w:pgMar w:top="400" w:right="560" w:bottom="400" w:left="5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felixamoruwa.inf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