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55" w:after="55"/>
      </w:pPr>
      <w:r>
        <w:rPr>
          <w:rFonts w:ascii="Arial" w:hAnsi="Arial"/>
          <w:b w:val="0"/>
          <w:i w:val="0"/>
          <w:color w:val="555555"/>
          <w:sz w:val="16"/>
        </w:rPr>
        <w:t>Technical PM with 12+ years shipping developer-facing platforms and AI tooling — from SDK Starter Kits and DevPortal infrastructure that scaled to 675M+ engagements (Intuit) to founding an MCP-native agentic desktop product with embedded CLI, multi-agent orchestration, and developer ecosystem features. Hands-on with the full agentic software development stack: built and benchmarked 12 RL algorithms across TRL, VeRL, OpenRLHF, and NeMo RL; shipped multi-provider LLM pipelines; and published at NeurIPS. Equally comfortable discussing model capabilities with researchers, debugging developer workflows with engineers, and presenting product roadmaps to executives.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streamio.ai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MCP-native agentic desktop application (Electron + React + TypeScript) with embedded terminal (xterm.js/node-pty, 20+ slash commands) and MCP server exposing screen capture tools to AI coding assistants — directly extending the developer ecosystem around AI coding workflows.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Engineered OpenClaw multi-agent orchestration framework with gateway protocol, subagent delegation, profile management, and session switching — enabling coordinated agentic software development workflows across multiple industry verticals.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Shipped cross-platform desktop builds (macOS DMG with code signing/notarization, Linux .deb) with native ScreenCaptureKit integration via Swift, real-time HLS livestreaming pipeline (FFmpeg, WebSocket), and 100+ component React/Redux Toolkit frontend.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cross-platform iOS streaming app (React Native/Expo) with dual-source capture, on-device FFmpeg transcoding, Picture-in-Picture compositing, and Kinde OAuth 2.0 authentication.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0-to-1 product strategy, AI development, and go-to-market execution including customer discovery interviews and iterative product refinement.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Founder &amp; CEO — fintellectai.io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Architected multi-provider LLM orchestration pipeline (Claude, GPT-4, Gemini) with RAG retrieval (ChromaDB), fallback routing, structured output validation, and token budget optimization — translating cutting-edge AI advances into practical user-facing features.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Launched mobile-first AI investing platform through App Store; led customer discovery, influencer partnerships, and iterative product refinement based on trader feedback.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Achieved 275% YoY growth in ICE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Extended Java and Python SDK Starter Kits with scaffolding templates, build configurations (Gradle/Maven), testing frameworks, and CI/CD integration — empowering developers to go from zero to production-ready microservice in minutes.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Conducted enterprise-wide Service Language Assessment across 9 languages (Java, Python, Kotlin, Go, TypeScript, Scala, PHP, C++, Groovy), analyzing developer feedback and usage data to inform strategic investment decisions presented to CTO.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ICE Presence in async chat generating $480K/month in additional invoicing; deployed Background-to-Foreground Messaging on iOS/Android with &lt;100ms latency. DeveloperWeek 2022 speaker.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Initiated MSaaS Drift Detection program: authored Java JAR library to scan Git repos for configuration drift and built remediation roadmap using OpenRewrite.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Senior Product Manager — Search Orchestration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Owned Search Service (Go microservices), Search Catalog (PostgreSQL), and Splunk Processing Language (SPL/SPL2) — defined roadmaps, PRDs, and acceptance criteria for Splunk Cloud Services.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Delivered Scheduler Service end-to-end in ~4 months, enabling scheduled search for first-party applications; demoed at .conf19. Led query optimization achieving up to 10x performance improvements for beta Fortune 500 customer.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Designed repeatable RICE-based prioritization framework balancing internal partner, third-party developer, and Fortune 500 customer requirements across 3 microservice backlogs. Splunk .conf18 Speaker.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SOA Technical Product Manager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Led development and enterprise rollout of Splunk Logging-as-a-Service (1.7 TB daily volume, 200+ internal customers) and ITSI Application Monitoring-as-a-Service; built Redis/XC10 caching layer for scalability and fault tolerance.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Resolved multiple $1–5M high-severity customer escalations for enterprise BI products; led cross-functional root cause analysis improving case resolution time by 20% across the Support Organization.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Developed Monte Carlo simulation model to optimize DMAIC phase distribution across a $494M portfolio in Global Technology &amp; Operations.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3-phase RL post-training workbench covering the full RLHF/DPO pipeline: Reward Lab for designing and A/B testing reward functions (RLVR, learned, hybrid) across 4 datasets (GSM8K, MATH, HumanEval, UltraFeedback), Playground for real TRL-powered GRPO/DPO training with live SSE metric streaming on Apple Silicon (MPS) or CUDA, and Arena for head-to-head framework benchmarking (TRL, VeRL, OpenRLHF, NeMo RL) with GPU passthrough in Docker containers.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Implemented 12 RL algorithms (PPO, GRPO, DAPO, REINFORCE, REINFORCE++, RLOO, DPO, SimPO, IPO, KTO, ORPO, SPPO) with algorithm-specific metric profiles, cross-tab workflow lineage tracking, and standardized throughput/memory/convergence benchmarking across frameworks.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aeval — AI Model Evaluation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local-first developer evaluation platform with 5 core eval types (factuality, reasoning, instruction-following, safety, code generation), adversarial safety testing with refusal detection, and CI/CD integration with regression detection and automated safety gates. Stack: FastAPI, TimescaleDB, Redis, Next.js, Ollama.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Statistical rigor: bootstrap confidence intervals, Welch's t-test, Cohen's d effect size, and saturation detection — enabling rigorous model capability benchmarking for developer workflows.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Built production ML platform in PyTorch with 5 neural architectures (feedforward, GRU, Transformer, ESM-2, multi-task), MLflow experiment tracking, Optuna HPO, and FastAPI serving — 823 automated tests, Docker orchestration (6 containers). Original 2004 system: hand-coded neural network in C++ with custom BPTT; 2026 rewrite spans 413 to 8B parameters (19M-fold scale increase).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NeurIPS 2014 (Montreal): accepted paper on artificial neural networks for protein secondary structure prediction.</w:t>
      </w:r>
    </w:p>
    <w:p>
      <w:pPr>
        <w:spacing w:before="45" w:after="5"/>
      </w:pPr>
      <w:r>
        <w:rPr>
          <w:rFonts w:ascii="Arial" w:hAnsi="Arial"/>
          <w:b/>
          <w:i w:val="0"/>
          <w:color w:val="1A1A1A"/>
          <w:sz w:val="16"/>
        </w:rPr>
        <w:t>AutoEval — Automated Visual Evaluation for Robot Model Training</w:t>
      </w:r>
      <w:r>
        <w:rPr>
          <w:rFonts w:ascii="Arial" w:hAnsi="Arial"/>
          <w:b w:val="0"/>
          <w:i w:val="0"/>
          <w:color w:val="888888"/>
          <w:sz w:val="15"/>
        </w:rPr>
        <w:t xml:space="preserve">  (2025)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Repurposed StreamIO's screen capture + HLS streaming + multimodal AI pipeline to score robot model outputs against natural-language evaluation rubrics — reducing evaluation cycles from 72 hours to ~4 minutes via zero-integration architecture capturing from any visualization tool (RViz, Matplotlib, custom dashboards).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28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55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0"/>
      </w:pPr>
      <w:r>
        <w:rPr>
          <w:rFonts w:ascii="Arial" w:hAnsi="Arial"/>
          <w:b w:val="0"/>
          <w:i/>
          <w:color w:val="555555"/>
          <w:sz w:val="16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CIS 35A/B, 36A/B — Java Programming; CIS 64C/G — PL/SQL; CIS 44F — Data Analytics; CIS 64E — Large Scale Cloud Computing (AWS, GCP); CIS 102 — Ethical Hacking; CIS 104 — Digital Forensics; CIS 95F — Managing Cloud Projects.</w:t>
      </w:r>
    </w:p>
    <w:p>
      <w:pPr>
        <w:spacing w:before="100" w:after="18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FAA Commercial Drone License; FAA Private Pilot License (intended CFI)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O'Reilly &amp; OER Publications: Data Analytics and Managing Cloud Projects (forthcoming Summer 2026)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First Tee Assistant Golf Coach — San Francisco Chapter (2012–Present), Pittsburgh Chapter (2011–2012)</w:t>
      </w:r>
    </w:p>
    <w:p>
      <w:pPr>
        <w:spacing w:before="4" w:after="4"/>
        <w:ind w:left="360" w:hanging="200"/>
      </w:pPr>
      <w:r>
        <w:rPr>
          <w:rFonts w:ascii="Arial" w:hAnsi="Arial"/>
          <w:b w:val="0"/>
          <w:i w:val="0"/>
          <w:color w:val="1A1A1A"/>
          <w:sz w:val="16"/>
        </w:rPr>
        <w:t>•</w:t>
        <w:tab/>
      </w:r>
      <w:r>
        <w:rPr>
          <w:rFonts w:ascii="Arial" w:hAnsi="Arial"/>
          <w:b w:val="0"/>
          <w:i w:val="0"/>
          <w:color w:val="1A1A1A"/>
          <w:sz w:val="16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380" w:right="560" w:bottom="380" w:left="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