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center"/>
      </w:pPr>
      <w:r>
        <w:rPr>
          <w:rFonts w:ascii="Arial" w:hAnsi="Arial"/>
          <w:b/>
          <w:i w:val="0"/>
          <w:color w:val="1A1A1A"/>
          <w:sz w:val="26"/>
        </w:rPr>
        <w:t>O. FELIX AMORUWA</w:t>
      </w:r>
    </w:p>
    <w:p>
      <w:pPr>
        <w:spacing w:before="0" w:after="10"/>
        <w:jc w:val="center"/>
      </w:pPr>
      <w:r>
        <w:rPr>
          <w:rFonts w:ascii="Arial" w:hAnsi="Arial"/>
          <w:b w:val="0"/>
          <w:i w:val="0"/>
          <w:color w:val="555555"/>
          <w:sz w:val="16"/>
        </w:rPr>
        <w:t xml:space="preserve">famoruwa@berkeley.edu  |  909-731-9011  |  </w:t>
      </w:r>
      <w:hyperlink r:id="rId9">
        <w:r>
          <w:rPr>
            <w:rFonts w:ascii="Arial" w:hAnsi="Arial"/>
            <w:sz w:val="16"/>
            <w:color w:val="2B547E"/>
            <w:u w:val="single"/>
          </w:rPr>
          <w:t xml:space="preserve">felixamoruwa.info</w:t>
        </w:r>
      </w:hyperlink>
    </w:p>
    <w:p>
      <w:pPr>
        <w:spacing w:before="55" w:after="55"/>
      </w:pPr>
      <w:r>
        <w:rPr>
          <w:rFonts w:ascii="Arial" w:hAnsi="Arial"/>
          <w:b w:val="0"/>
          <w:i w:val="0"/>
          <w:color w:val="555555"/>
          <w:sz w:val="16"/>
        </w:rPr>
        <w:t>Staff PM with 12+ years building scalable AI platforms and developer infrastructure — from architecting RAG retrieval pipelines and multi-LLM orchestration in production fintech applications to scaling a developer platform to 675M+ engagements at Intuit. Deep technical fluency across model training, evaluation pipelines, and agentic systems in production; NeurIPS published researcher. Proven ability to define AI platform vision, ship APIs that deliver intelligence at scale, and translate complex ML concepts into trusted, responsible AI infrastructure across regulated financial domains.</w:t>
      </w:r>
    </w:p>
    <w:p>
      <w:pPr>
        <w:spacing w:before="100" w:after="18"/>
        <w:pBdr>
          <w:bottom w:val="single" w:sz="8" w:space="4" w:color="2B547E"/>
        </w:pBdr>
      </w:pPr>
      <w:r>
        <w:rPr>
          <w:rFonts w:ascii="Arial" w:hAnsi="Arial"/>
          <w:b/>
          <w:i w:val="0"/>
          <w:color w:val="2B547E"/>
          <w:sz w:val="19"/>
        </w:rPr>
        <w:t>PROFESSIONAL EXPERIENCE</w:t>
      </w:r>
    </w:p>
    <w:p>
      <w:pPr>
        <w:spacing w:before="55" w:after="0"/>
      </w:pPr>
      <w:r>
        <w:rPr>
          <w:rFonts w:ascii="Arial" w:hAnsi="Arial"/>
          <w:b/>
          <w:i w:val="0"/>
          <w:color w:val="1A1A1A"/>
          <w:sz w:val="17"/>
        </w:rPr>
        <w:t>FINTELLECT AI</w:t>
      </w:r>
      <w:r>
        <w:rPr>
          <w:rFonts w:ascii="Arial" w:hAnsi="Arial"/>
          <w:b w:val="0"/>
          <w:i w:val="0"/>
          <w:color w:val="888888"/>
          <w:sz w:val="15"/>
        </w:rPr>
        <w:t xml:space="preserve">  |  Oakland, CA</w:t>
      </w:r>
    </w:p>
    <w:p>
      <w:pPr>
        <w:spacing w:before="3" w:after="10"/>
      </w:pPr>
      <w:r>
        <w:rPr>
          <w:rFonts w:ascii="Arial" w:hAnsi="Arial"/>
          <w:b w:val="0"/>
          <w:i/>
          <w:color w:val="555555"/>
          <w:sz w:val="16"/>
        </w:rPr>
        <w:t>Founder &amp; CEO — AI Foundations for Retail Investing (iOS/Android/Web)</w:t>
      </w:r>
      <w:r>
        <w:rPr>
          <w:rFonts w:ascii="Arial" w:hAnsi="Arial"/>
          <w:b w:val="0"/>
          <w:i w:val="0"/>
          <w:color w:val="888888"/>
          <w:sz w:val="15"/>
        </w:rPr>
        <w:t xml:space="preserve">    09/24 – 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Architected the data and intelligence layer for a fintech AI platform: RAG retrieval pipeline with ChromaDB vector store, multi-provider LLM orchestration (Claude, GPT-4, Gemini) with fallback routing, structured output validation, and token budget optimization — delivering embeddings-powered financial intelligence in a regulated, high-trust domain.</w:t>
      </w:r>
    </w:p>
    <w:p>
      <w:pPr>
        <w:spacing w:before="4" w:after="4"/>
        <w:ind w:left="360" w:hanging="200"/>
      </w:pPr>
      <w:r>
        <w:rPr>
          <w:rFonts w:ascii="Arial" w:hAnsi="Arial"/>
          <w:b w:val="0"/>
          <w:i w:val="0"/>
          <w:color w:val="1A1A1A"/>
          <w:sz w:val="16"/>
        </w:rPr>
        <w:t>•</w:t>
        <w:tab/>
      </w:r>
      <w:r>
        <w:rPr>
          <w:rFonts w:ascii="Arial" w:hAnsi="Arial"/>
          <w:b w:val="0"/>
          <w:i w:val="0"/>
          <w:color w:val="1A1A1A"/>
          <w:sz w:val="16"/>
        </w:rPr>
        <w:t>Built domain-specific Fintellect Agents — conversational AI agents scoped to distinct financial focal points, delivering guided, context-aware advisory interactions; drove concept-to-production execution including App Store launch.</w:t>
      </w:r>
    </w:p>
    <w:p>
      <w:pPr>
        <w:spacing w:before="4" w:after="4"/>
        <w:ind w:left="360" w:hanging="200"/>
      </w:pPr>
      <w:r>
        <w:rPr>
          <w:rFonts w:ascii="Arial" w:hAnsi="Arial"/>
          <w:b w:val="0"/>
          <w:i w:val="0"/>
          <w:color w:val="1A1A1A"/>
          <w:sz w:val="16"/>
        </w:rPr>
        <w:t>•</w:t>
        <w:tab/>
      </w:r>
      <w:r>
        <w:rPr>
          <w:rFonts w:ascii="Arial" w:hAnsi="Arial"/>
          <w:b w:val="0"/>
          <w:i w:val="0"/>
          <w:color w:val="1A1A1A"/>
          <w:sz w:val="16"/>
        </w:rPr>
        <w:t>Built AI-powered charting and macroeconomic analysis tools for asset class selection, execution planning, and risk management; integrated LLM models for automated trade analysis at scale.</w:t>
      </w:r>
    </w:p>
    <w:p>
      <w:pPr>
        <w:spacing w:before="4" w:after="4"/>
        <w:ind w:left="360" w:hanging="200"/>
      </w:pPr>
      <w:r>
        <w:rPr>
          <w:rFonts w:ascii="Arial" w:hAnsi="Arial"/>
          <w:b w:val="0"/>
          <w:i w:val="0"/>
          <w:color w:val="1A1A1A"/>
          <w:sz w:val="16"/>
        </w:rPr>
        <w:t>•</w:t>
        <w:tab/>
      </w:r>
      <w:r>
        <w:rPr>
          <w:rFonts w:ascii="Arial" w:hAnsi="Arial"/>
          <w:b w:val="0"/>
          <w:i w:val="0"/>
          <w:color w:val="1A1A1A"/>
          <w:sz w:val="16"/>
        </w:rPr>
        <w:t>Led customer discovery, iterated on model performance data and user feedback to refine platform, and established partnerships with industry influencers to drive go-to-market.</w:t>
      </w:r>
    </w:p>
    <w:p>
      <w:pPr>
        <w:spacing w:before="55" w:after="0"/>
      </w:pPr>
      <w:r>
        <w:rPr>
          <w:rFonts w:ascii="Arial" w:hAnsi="Arial"/>
          <w:b/>
          <w:i w:val="0"/>
          <w:color w:val="1A1A1A"/>
          <w:sz w:val="17"/>
        </w:rPr>
        <w:t>STREAMIO AI</w:t>
      </w:r>
      <w:r>
        <w:rPr>
          <w:rFonts w:ascii="Arial" w:hAnsi="Arial"/>
          <w:b w:val="0"/>
          <w:i w:val="0"/>
          <w:color w:val="888888"/>
          <w:sz w:val="15"/>
        </w:rPr>
        <w:t xml:space="preserve">  |  Oakland, CA</w:t>
      </w:r>
    </w:p>
    <w:p>
      <w:pPr>
        <w:spacing w:before="3" w:after="10"/>
      </w:pPr>
      <w:r>
        <w:rPr>
          <w:rFonts w:ascii="Arial" w:hAnsi="Arial"/>
          <w:b w:val="0"/>
          <w:i/>
          <w:color w:val="555555"/>
          <w:sz w:val="16"/>
        </w:rPr>
        <w:t>Founder &amp; CEO — Multimodal AI Platform (macOS, Linux, iOS &amp; Web)</w:t>
      </w:r>
      <w:r>
        <w:rPr>
          <w:rFonts w:ascii="Arial" w:hAnsi="Arial"/>
          <w:b w:val="0"/>
          <w:i w:val="0"/>
          <w:color w:val="888888"/>
          <w:sz w:val="15"/>
        </w:rPr>
        <w:t xml:space="preserve">    09/24 – 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Implemented OpenClaw multi-agent orchestration framework with gateway protocol and subagent delegation — enabling coordinated agentic systems in production across real estate, insurance, health/dental, and financial markets verticals.</w:t>
      </w:r>
    </w:p>
    <w:p>
      <w:pPr>
        <w:spacing w:before="4" w:after="4"/>
        <w:ind w:left="360" w:hanging="200"/>
      </w:pPr>
      <w:r>
        <w:rPr>
          <w:rFonts w:ascii="Arial" w:hAnsi="Arial"/>
          <w:b w:val="0"/>
          <w:i w:val="0"/>
          <w:color w:val="1A1A1A"/>
          <w:sz w:val="16"/>
        </w:rPr>
        <w:t>•</w:t>
        <w:tab/>
      </w:r>
      <w:r>
        <w:rPr>
          <w:rFonts w:ascii="Arial" w:hAnsi="Arial"/>
          <w:b w:val="0"/>
          <w:i w:val="0"/>
          <w:color w:val="1A1A1A"/>
          <w:sz w:val="16"/>
        </w:rPr>
        <w:t>Integrated Claude via MCP SDK for real-time multimodal AI analysis of screen captures, enabling contextual LLM-powered conversations and automated structured report generation via third-party APIs.</w:t>
      </w:r>
    </w:p>
    <w:p>
      <w:pPr>
        <w:spacing w:before="4" w:after="4"/>
        <w:ind w:left="360" w:hanging="200"/>
      </w:pPr>
      <w:r>
        <w:rPr>
          <w:rFonts w:ascii="Arial" w:hAnsi="Arial"/>
          <w:b w:val="0"/>
          <w:i w:val="0"/>
          <w:color w:val="1A1A1A"/>
          <w:sz w:val="16"/>
        </w:rPr>
        <w:t>•</w:t>
        <w:tab/>
      </w:r>
      <w:r>
        <w:rPr>
          <w:rFonts w:ascii="Arial" w:hAnsi="Arial"/>
          <w:b w:val="0"/>
          <w:i w:val="0"/>
          <w:color w:val="1A1A1A"/>
          <w:sz w:val="16"/>
        </w:rPr>
        <w:t>Shipped cross-platform production application (Electron + React + TypeScript, 100+ components, Redux Toolkit) with native macOS ScreenCaptureKit integration, embedded terminal, and MCP server exposing AI tools to developer workflows.</w:t>
      </w:r>
    </w:p>
    <w:p>
      <w:pPr>
        <w:spacing w:before="4" w:after="4"/>
        <w:ind w:left="360" w:hanging="200"/>
      </w:pPr>
      <w:r>
        <w:rPr>
          <w:rFonts w:ascii="Arial" w:hAnsi="Arial"/>
          <w:b w:val="0"/>
          <w:i w:val="0"/>
          <w:color w:val="1A1A1A"/>
          <w:sz w:val="16"/>
        </w:rPr>
        <w:t>•</w:t>
        <w:tab/>
      </w:r>
      <w:r>
        <w:rPr>
          <w:rFonts w:ascii="Arial" w:hAnsi="Arial"/>
          <w:b w:val="0"/>
          <w:i w:val="0"/>
          <w:color w:val="1A1A1A"/>
          <w:sz w:val="16"/>
        </w:rPr>
        <w:t>Built end-to-end auth and payments pipeline (Kinde OAuth 2.0, Stripe subscriptions, Electron SafeStorage) and ElevenLabs TTS/STT integration with 6 auto-classified voice profiles.</w:t>
      </w:r>
    </w:p>
    <w:p>
      <w:pPr>
        <w:spacing w:before="55" w:after="0"/>
      </w:pPr>
      <w:r>
        <w:rPr>
          <w:rFonts w:ascii="Arial" w:hAnsi="Arial"/>
          <w:b/>
          <w:i w:val="0"/>
          <w:color w:val="1A1A1A"/>
          <w:sz w:val="17"/>
        </w:rPr>
        <w:t>INTUIT</w:t>
      </w:r>
      <w:r>
        <w:rPr>
          <w:rFonts w:ascii="Arial" w:hAnsi="Arial"/>
          <w:b w:val="0"/>
          <w:i w:val="0"/>
          <w:color w:val="888888"/>
          <w:sz w:val="15"/>
        </w:rPr>
        <w:t xml:space="preserve">  |  Mountain View, CA</w:t>
      </w:r>
    </w:p>
    <w:p>
      <w:pPr>
        <w:spacing w:before="3" w:after="10"/>
      </w:pPr>
      <w:r>
        <w:rPr>
          <w:rFonts w:ascii="Arial" w:hAnsi="Arial"/>
          <w:b w:val="0"/>
          <w:i/>
          <w:color w:val="555555"/>
          <w:sz w:val="16"/>
        </w:rPr>
        <w:t>Staff Product Manager — Developer Frameworks &amp; Platform Infrastructure</w:t>
      </w:r>
      <w:r>
        <w:rPr>
          <w:rFonts w:ascii="Arial" w:hAnsi="Arial"/>
          <w:b w:val="0"/>
          <w:i w:val="0"/>
          <w:color w:val="888888"/>
          <w:sz w:val="15"/>
        </w:rPr>
        <w:t xml:space="preserve">    06/21 – 09/24</w:t>
      </w:r>
    </w:p>
    <w:p>
      <w:pPr>
        <w:spacing w:before="4" w:after="4"/>
        <w:ind w:left="360" w:hanging="200"/>
      </w:pPr>
      <w:r>
        <w:rPr>
          <w:rFonts w:ascii="Arial" w:hAnsi="Arial"/>
          <w:b w:val="0"/>
          <w:i w:val="0"/>
          <w:color w:val="1A1A1A"/>
          <w:sz w:val="16"/>
        </w:rPr>
        <w:t>•</w:t>
        <w:tab/>
      </w:r>
      <w:r>
        <w:rPr>
          <w:rFonts w:ascii="Arial" w:hAnsi="Arial"/>
          <w:b w:val="0"/>
          <w:i w:val="0"/>
          <w:color w:val="1A1A1A"/>
          <w:sz w:val="16"/>
        </w:rPr>
        <w:t>Achieved 275% YoY growth in ICE platform engagements, scaling to 675M+ in FY23 across QuickBooks, TurboTax, Mint, Mailchimp, and Credit Karma; scaled throughput from 6K to 50K TPS via rSocket migration supporting ~1.5M concurrent connections at sub-25ms TP99.</w:t>
      </w:r>
    </w:p>
    <w:p>
      <w:pPr>
        <w:spacing w:before="4" w:after="4"/>
        <w:ind w:left="360" w:hanging="200"/>
      </w:pPr>
      <w:r>
        <w:rPr>
          <w:rFonts w:ascii="Arial" w:hAnsi="Arial"/>
          <w:b w:val="0"/>
          <w:i w:val="0"/>
          <w:color w:val="1A1A1A"/>
          <w:sz w:val="16"/>
        </w:rPr>
        <w:t>•</w:t>
        <w:tab/>
      </w:r>
      <w:r>
        <w:rPr>
          <w:rFonts w:ascii="Arial" w:hAnsi="Arial"/>
          <w:b w:val="0"/>
          <w:i w:val="0"/>
          <w:color w:val="1A1A1A"/>
          <w:sz w:val="16"/>
        </w:rPr>
        <w:t>Delivered ICE Self-Service platform (DevPortal, GitOps config, ICE Playground) with APIs and primitives that reduced developer onboarding from 2–3 weeks to minutes in pre-prod and &lt;24 hours for production, mitigating $1M+ in projected opex growth.</w:t>
      </w:r>
    </w:p>
    <w:p>
      <w:pPr>
        <w:spacing w:before="4" w:after="4"/>
        <w:ind w:left="360" w:hanging="200"/>
      </w:pPr>
      <w:r>
        <w:rPr>
          <w:rFonts w:ascii="Arial" w:hAnsi="Arial"/>
          <w:b w:val="0"/>
          <w:i w:val="0"/>
          <w:color w:val="1A1A1A"/>
          <w:sz w:val="16"/>
        </w:rPr>
        <w:t>•</w:t>
        <w:tab/>
      </w:r>
      <w:r>
        <w:rPr>
          <w:rFonts w:ascii="Arial" w:hAnsi="Arial"/>
          <w:b w:val="0"/>
          <w:i w:val="0"/>
          <w:color w:val="1A1A1A"/>
          <w:sz w:val="16"/>
        </w:rPr>
        <w:t>Extended Java and Python SDK Starter Kits with scaffolding templates, build configurations (Gradle/Maven), testing frameworks, and CI/CD integration — empowering developers to go from zero to production-ready microservice in minutes.</w:t>
      </w:r>
    </w:p>
    <w:p>
      <w:pPr>
        <w:spacing w:before="4" w:after="4"/>
        <w:ind w:left="360" w:hanging="200"/>
      </w:pPr>
      <w:r>
        <w:rPr>
          <w:rFonts w:ascii="Arial" w:hAnsi="Arial"/>
          <w:b w:val="0"/>
          <w:i w:val="0"/>
          <w:color w:val="1A1A1A"/>
          <w:sz w:val="16"/>
        </w:rPr>
        <w:t>•</w:t>
        <w:tab/>
      </w:r>
      <w:r>
        <w:rPr>
          <w:rFonts w:ascii="Arial" w:hAnsi="Arial"/>
          <w:b w:val="0"/>
          <w:i w:val="0"/>
          <w:color w:val="1A1A1A"/>
          <w:sz w:val="16"/>
        </w:rPr>
        <w:t>Built Asterias, a declarative asset lifecycle management platform with GraphQL API; used SQL and BigQuery telemetry to prioritize developer pain points across ~20 mobile apps and 30+ product SKUs.</w:t>
      </w:r>
    </w:p>
    <w:p>
      <w:pPr>
        <w:spacing w:before="4" w:after="4"/>
        <w:ind w:left="360" w:hanging="200"/>
      </w:pPr>
      <w:r>
        <w:rPr>
          <w:rFonts w:ascii="Arial" w:hAnsi="Arial"/>
          <w:b w:val="0"/>
          <w:i w:val="0"/>
          <w:color w:val="1A1A1A"/>
          <w:sz w:val="16"/>
        </w:rPr>
        <w:t>•</w:t>
        <w:tab/>
      </w:r>
      <w:r>
        <w:rPr>
          <w:rFonts w:ascii="Arial" w:hAnsi="Arial"/>
          <w:b w:val="0"/>
          <w:i w:val="0"/>
          <w:color w:val="1A1A1A"/>
          <w:sz w:val="16"/>
        </w:rPr>
        <w:t>Conducted enterprise-wide Service Language Assessment across 9 languages, analyzing usage data and developer feedback to inform strategic platform investment decisions presented to CTO.</w:t>
      </w:r>
    </w:p>
    <w:p>
      <w:pPr>
        <w:spacing w:before="4" w:after="4"/>
        <w:ind w:left="360" w:hanging="200"/>
      </w:pPr>
      <w:r>
        <w:rPr>
          <w:rFonts w:ascii="Arial" w:hAnsi="Arial"/>
          <w:b w:val="0"/>
          <w:i w:val="0"/>
          <w:color w:val="1A1A1A"/>
          <w:sz w:val="16"/>
        </w:rPr>
        <w:t>•</w:t>
        <w:tab/>
      </w:r>
      <w:r>
        <w:rPr>
          <w:rFonts w:ascii="Arial" w:hAnsi="Arial"/>
          <w:b w:val="0"/>
          <w:i w:val="0"/>
          <w:color w:val="1A1A1A"/>
          <w:sz w:val="16"/>
        </w:rPr>
        <w:t>Implemented ICE Presence in async chat, generating $480K/month in additional invoicing; deployed Background-to-Foreground Messaging on iOS/Android with &lt;100ms latency. DeveloperWeek 2022 speaker.</w:t>
      </w:r>
    </w:p>
    <w:p>
      <w:pPr>
        <w:spacing w:before="55" w:after="0"/>
      </w:pPr>
      <w:r>
        <w:rPr>
          <w:rFonts w:ascii="Arial" w:hAnsi="Arial"/>
          <w:b/>
          <w:i w:val="0"/>
          <w:color w:val="1A1A1A"/>
          <w:sz w:val="17"/>
        </w:rPr>
        <w:t>SPLUNK INC.</w:t>
      </w:r>
      <w:r>
        <w:rPr>
          <w:rFonts w:ascii="Arial" w:hAnsi="Arial"/>
          <w:b w:val="0"/>
          <w:i w:val="0"/>
          <w:color w:val="888888"/>
          <w:sz w:val="15"/>
        </w:rPr>
        <w:t xml:space="preserve">  |  San Francisco, CA</w:t>
      </w:r>
    </w:p>
    <w:p>
      <w:pPr>
        <w:spacing w:before="3" w:after="10"/>
      </w:pPr>
      <w:r>
        <w:rPr>
          <w:rFonts w:ascii="Arial" w:hAnsi="Arial"/>
          <w:b w:val="0"/>
          <w:i/>
          <w:color w:val="555555"/>
          <w:sz w:val="16"/>
        </w:rPr>
        <w:t>Senior Product Manager — Search Orchestration &amp; Data Intelligence</w:t>
      </w:r>
      <w:r>
        <w:rPr>
          <w:rFonts w:ascii="Arial" w:hAnsi="Arial"/>
          <w:b w:val="0"/>
          <w:i w:val="0"/>
          <w:color w:val="888888"/>
          <w:sz w:val="15"/>
        </w:rPr>
        <w:t xml:space="preserve">    01/19 – 01/21</w:t>
      </w:r>
    </w:p>
    <w:p>
      <w:pPr>
        <w:spacing w:before="4" w:after="4"/>
        <w:ind w:left="360" w:hanging="200"/>
      </w:pPr>
      <w:r>
        <w:rPr>
          <w:rFonts w:ascii="Arial" w:hAnsi="Arial"/>
          <w:b w:val="0"/>
          <w:i w:val="0"/>
          <w:color w:val="1A1A1A"/>
          <w:sz w:val="16"/>
        </w:rPr>
        <w:t>•</w:t>
        <w:tab/>
      </w:r>
      <w:r>
        <w:rPr>
          <w:rFonts w:ascii="Arial" w:hAnsi="Arial"/>
          <w:b w:val="0"/>
          <w:i w:val="0"/>
          <w:color w:val="1A1A1A"/>
          <w:sz w:val="16"/>
        </w:rPr>
        <w:t>Owned Search Service (Go microservices), Search Catalog (PostgreSQL metadata), and Splunk Processing Language (SPL/SPL2) — built roadmaps, PRDs, and acceptance criteria for scalable cloud data platform (SCS).</w:t>
      </w:r>
    </w:p>
    <w:p>
      <w:pPr>
        <w:spacing w:before="4" w:after="4"/>
        <w:ind w:left="360" w:hanging="200"/>
      </w:pPr>
      <w:r>
        <w:rPr>
          <w:rFonts w:ascii="Arial" w:hAnsi="Arial"/>
          <w:b w:val="0"/>
          <w:i w:val="0"/>
          <w:color w:val="1A1A1A"/>
          <w:sz w:val="16"/>
        </w:rPr>
        <w:t>•</w:t>
        <w:tab/>
      </w:r>
      <w:r>
        <w:rPr>
          <w:rFonts w:ascii="Arial" w:hAnsi="Arial"/>
          <w:b w:val="0"/>
          <w:i w:val="0"/>
          <w:color w:val="1A1A1A"/>
          <w:sz w:val="16"/>
        </w:rPr>
        <w:t>Led query performance optimization initiative achieving up to 10x improvements for enterprise beta customers; delivered Scheduler Service end-to-end in ~4 months, demoed at Splunk .conf19.</w:t>
      </w:r>
    </w:p>
    <w:p>
      <w:pPr>
        <w:spacing w:before="4" w:after="4"/>
        <w:ind w:left="360" w:hanging="200"/>
      </w:pPr>
      <w:r>
        <w:rPr>
          <w:rFonts w:ascii="Arial" w:hAnsi="Arial"/>
          <w:b w:val="0"/>
          <w:i w:val="0"/>
          <w:color w:val="1A1A1A"/>
          <w:sz w:val="16"/>
        </w:rPr>
        <w:t>•</w:t>
        <w:tab/>
      </w:r>
      <w:r>
        <w:rPr>
          <w:rFonts w:ascii="Arial" w:hAnsi="Arial"/>
          <w:b w:val="0"/>
          <w:i w:val="0"/>
          <w:color w:val="1A1A1A"/>
          <w:sz w:val="16"/>
        </w:rPr>
        <w:t>Designed RICE-based prioritization framework across 3 microservice backlogs, balancing internal partner, third-party developer, and Fortune 500 customer requirements.</w:t>
      </w:r>
    </w:p>
    <w:p>
      <w:pPr>
        <w:spacing w:before="55" w:after="0"/>
      </w:pPr>
      <w:r>
        <w:rPr>
          <w:rFonts w:ascii="Arial" w:hAnsi="Arial"/>
          <w:b/>
          <w:i w:val="0"/>
          <w:color w:val="1A1A1A"/>
          <w:sz w:val="17"/>
        </w:rPr>
        <w:t>KAISER PERMANENTE</w:t>
      </w:r>
      <w:r>
        <w:rPr>
          <w:rFonts w:ascii="Arial" w:hAnsi="Arial"/>
          <w:b w:val="0"/>
          <w:i w:val="0"/>
          <w:color w:val="888888"/>
          <w:sz w:val="15"/>
        </w:rPr>
        <w:t xml:space="preserve">  |  Pleasanton, CA</w:t>
      </w:r>
    </w:p>
    <w:p>
      <w:pPr>
        <w:spacing w:before="3" w:after="10"/>
      </w:pPr>
      <w:r>
        <w:rPr>
          <w:rFonts w:ascii="Arial" w:hAnsi="Arial"/>
          <w:b w:val="0"/>
          <w:i/>
          <w:color w:val="555555"/>
          <w:sz w:val="16"/>
        </w:rPr>
        <w:t>SOA Technical Product Manager</w:t>
      </w:r>
      <w:r>
        <w:rPr>
          <w:rFonts w:ascii="Arial" w:hAnsi="Arial"/>
          <w:b w:val="0"/>
          <w:i w:val="0"/>
          <w:color w:val="888888"/>
          <w:sz w:val="15"/>
        </w:rPr>
        <w:t xml:space="preserve">    08/12 – 12/18</w:t>
      </w:r>
    </w:p>
    <w:p>
      <w:pPr>
        <w:spacing w:before="4" w:after="4"/>
        <w:ind w:left="360" w:hanging="200"/>
      </w:pPr>
      <w:r>
        <w:rPr>
          <w:rFonts w:ascii="Arial" w:hAnsi="Arial"/>
          <w:b w:val="0"/>
          <w:i w:val="0"/>
          <w:color w:val="1A1A1A"/>
          <w:sz w:val="16"/>
        </w:rPr>
        <w:t>•</w:t>
        <w:tab/>
      </w:r>
      <w:r>
        <w:rPr>
          <w:rFonts w:ascii="Arial" w:hAnsi="Arial"/>
          <w:b w:val="0"/>
          <w:i w:val="0"/>
          <w:color w:val="1A1A1A"/>
          <w:sz w:val="16"/>
        </w:rPr>
        <w:t>Led development and enterprise rollout of Splunk Logging-as-a-Service (1.7 TB daily volume, 200+ internal customers) in a regulated healthcare domain; built Redis/XC10 caching layer for scalability and fault tolerance.</w:t>
      </w:r>
    </w:p>
    <w:p>
      <w:pPr>
        <w:spacing w:before="4" w:after="4"/>
        <w:ind w:left="360" w:hanging="200"/>
      </w:pPr>
      <w:r>
        <w:rPr>
          <w:rFonts w:ascii="Arial" w:hAnsi="Arial"/>
          <w:b w:val="0"/>
          <w:i w:val="0"/>
          <w:color w:val="1A1A1A"/>
          <w:sz w:val="16"/>
        </w:rPr>
        <w:t>•</w:t>
        <w:tab/>
      </w:r>
      <w:r>
        <w:rPr>
          <w:rFonts w:ascii="Arial" w:hAnsi="Arial"/>
          <w:b w:val="0"/>
          <w:i w:val="0"/>
          <w:color w:val="1A1A1A"/>
          <w:sz w:val="16"/>
        </w:rPr>
        <w:t>Led demand forecasting and capacity planning for SOA product suite across multiple datacenters.</w:t>
      </w:r>
    </w:p>
    <w:p>
      <w:pPr>
        <w:spacing w:before="55" w:after="0"/>
      </w:pPr>
      <w:r>
        <w:rPr>
          <w:rFonts w:ascii="Arial" w:hAnsi="Arial"/>
          <w:b/>
          <w:i w:val="0"/>
          <w:color w:val="1A1A1A"/>
          <w:sz w:val="17"/>
        </w:rPr>
        <w:t>BANK OF AMERICA MERRILL LYNCH</w:t>
      </w:r>
      <w:r>
        <w:rPr>
          <w:rFonts w:ascii="Arial" w:hAnsi="Arial"/>
          <w:b w:val="0"/>
          <w:i w:val="0"/>
          <w:color w:val="888888"/>
          <w:sz w:val="15"/>
        </w:rPr>
        <w:t xml:space="preserve">  |  Charlotte, NC</w:t>
      </w:r>
    </w:p>
    <w:p>
      <w:pPr>
        <w:spacing w:before="3" w:after="10"/>
      </w:pPr>
      <w:r>
        <w:rPr>
          <w:rFonts w:ascii="Arial" w:hAnsi="Arial"/>
          <w:b w:val="0"/>
          <w:i/>
          <w:color w:val="555555"/>
          <w:sz w:val="16"/>
        </w:rPr>
        <w:t>Tech MBA Summer Associate — Global Corporate &amp; Investment Banking T&amp;O</w:t>
      </w:r>
      <w:r>
        <w:rPr>
          <w:rFonts w:ascii="Arial" w:hAnsi="Arial"/>
          <w:b w:val="0"/>
          <w:i w:val="0"/>
          <w:color w:val="888888"/>
          <w:sz w:val="15"/>
        </w:rPr>
        <w:t xml:space="preserve">    06/11 – 08/11</w:t>
      </w:r>
    </w:p>
    <w:p>
      <w:pPr>
        <w:spacing w:before="4" w:after="4"/>
        <w:ind w:left="360" w:hanging="200"/>
      </w:pPr>
      <w:r>
        <w:rPr>
          <w:rFonts w:ascii="Arial" w:hAnsi="Arial"/>
          <w:b w:val="0"/>
          <w:i w:val="0"/>
          <w:color w:val="1A1A1A"/>
          <w:sz w:val="16"/>
        </w:rPr>
        <w:t>•</w:t>
        <w:tab/>
      </w:r>
      <w:r>
        <w:rPr>
          <w:rFonts w:ascii="Arial" w:hAnsi="Arial"/>
          <w:b w:val="0"/>
          <w:i w:val="0"/>
          <w:color w:val="1A1A1A"/>
          <w:sz w:val="16"/>
        </w:rPr>
        <w:t>Developed Monte Carlo simulation model to optimize DMAIC phase distribution across a $494M portfolio in Global Technology &amp; Operations — applied quantitative methods in a regulated financial services context.</w:t>
      </w:r>
    </w:p>
    <w:p>
      <w:pPr>
        <w:spacing w:before="55" w:after="0"/>
      </w:pPr>
      <w:r>
        <w:rPr>
          <w:rFonts w:ascii="Arial" w:hAnsi="Arial"/>
          <w:b/>
          <w:i w:val="0"/>
          <w:color w:val="1A1A1A"/>
          <w:sz w:val="17"/>
        </w:rPr>
        <w:t>IBM</w:t>
      </w:r>
      <w:r>
        <w:rPr>
          <w:rFonts w:ascii="Arial" w:hAnsi="Arial"/>
          <w:b w:val="0"/>
          <w:i w:val="0"/>
          <w:color w:val="888888"/>
          <w:sz w:val="15"/>
        </w:rPr>
        <w:t xml:space="preserve">  |  Pittsburgh, PA / Foster City, CA / RTP, NC</w:t>
      </w:r>
    </w:p>
    <w:p>
      <w:pPr>
        <w:spacing w:before="3" w:after="10"/>
      </w:pPr>
      <w:r>
        <w:rPr>
          <w:rFonts w:ascii="Arial" w:hAnsi="Arial"/>
          <w:b w:val="0"/>
          <w:i/>
          <w:color w:val="555555"/>
          <w:sz w:val="16"/>
        </w:rPr>
        <w:t>Software Engineer — Business Intelligence Products</w:t>
      </w:r>
      <w:r>
        <w:rPr>
          <w:rFonts w:ascii="Arial" w:hAnsi="Arial"/>
          <w:b w:val="0"/>
          <w:i w:val="0"/>
          <w:color w:val="888888"/>
          <w:sz w:val="15"/>
        </w:rPr>
        <w:t xml:space="preserve">    07/05 – 03/10</w:t>
      </w:r>
    </w:p>
    <w:p>
      <w:pPr>
        <w:spacing w:before="4" w:after="4"/>
        <w:ind w:left="360" w:hanging="200"/>
      </w:pPr>
      <w:r>
        <w:rPr>
          <w:rFonts w:ascii="Arial" w:hAnsi="Arial"/>
          <w:b w:val="0"/>
          <w:i w:val="0"/>
          <w:color w:val="1A1A1A"/>
          <w:sz w:val="16"/>
        </w:rPr>
        <w:t>•</w:t>
        <w:tab/>
      </w:r>
      <w:r>
        <w:rPr>
          <w:rFonts w:ascii="Arial" w:hAnsi="Arial"/>
          <w:b w:val="0"/>
          <w:i w:val="0"/>
          <w:color w:val="1A1A1A"/>
          <w:sz w:val="16"/>
        </w:rPr>
        <w:t>Resolved multiple $1–5M high-severity customer escalations for enterprise BI software; led cross-functional root cause analysis improving case resolution time by 20% across the Support Organization.</w:t>
      </w:r>
    </w:p>
    <w:p>
      <w:pPr>
        <w:spacing w:before="100" w:after="18"/>
        <w:pBdr>
          <w:bottom w:val="single" w:sz="8" w:space="4" w:color="2B547E"/>
        </w:pBdr>
      </w:pPr>
      <w:r>
        <w:rPr>
          <w:rFonts w:ascii="Arial" w:hAnsi="Arial"/>
          <w:b/>
          <w:i w:val="0"/>
          <w:color w:val="2B547E"/>
          <w:sz w:val="19"/>
        </w:rPr>
        <w:t>AI/ML RESEARCH &amp; PROJECTS</w:t>
      </w:r>
    </w:p>
    <w:p>
      <w:pPr>
        <w:spacing w:before="45" w:after="5"/>
      </w:pPr>
      <w:r>
        <w:rPr>
          <w:rFonts w:ascii="Arial" w:hAnsi="Arial"/>
          <w:b/>
          <w:i w:val="0"/>
          <w:color w:val="1A1A1A"/>
          <w:sz w:val="16"/>
        </w:rPr>
        <w:t>aeval — AI Model Evaluation Platform</w:t>
      </w:r>
      <w:r>
        <w:rPr>
          <w:rFonts w:ascii="Arial" w:hAnsi="Arial"/>
          <w:b w:val="0"/>
          <w:i w:val="0"/>
          <w:color w:val="888888"/>
          <w:sz w:val="15"/>
        </w:rPr>
        <w:t xml:space="preserve">  (2025–2026)</w:t>
      </w:r>
    </w:p>
    <w:p>
      <w:pPr>
        <w:spacing w:before="4" w:after="4"/>
        <w:ind w:left="360" w:hanging="200"/>
      </w:pPr>
      <w:r>
        <w:rPr>
          <w:rFonts w:ascii="Arial" w:hAnsi="Arial"/>
          <w:b w:val="0"/>
          <w:i w:val="0"/>
          <w:color w:val="1A1A1A"/>
          <w:sz w:val="16"/>
        </w:rPr>
        <w:t>•</w:t>
        <w:tab/>
      </w:r>
      <w:r>
        <w:rPr>
          <w:rFonts w:ascii="Arial" w:hAnsi="Arial"/>
          <w:b w:val="0"/>
          <w:i w:val="0"/>
          <w:color w:val="1A1A1A"/>
          <w:sz w:val="16"/>
        </w:rPr>
        <w:t>Built local-first model evaluation platform with 5 core eval types (factuality, reasoning, instruction-following, safety, code generation), adversarial safety testing with refusal detection, and data contamination detection — embodying responsible AI and transparency principles.</w:t>
      </w:r>
    </w:p>
    <w:p>
      <w:pPr>
        <w:spacing w:before="4" w:after="4"/>
        <w:ind w:left="360" w:hanging="200"/>
      </w:pPr>
      <w:r>
        <w:rPr>
          <w:rFonts w:ascii="Arial" w:hAnsi="Arial"/>
          <w:b w:val="0"/>
          <w:i w:val="0"/>
          <w:color w:val="1A1A1A"/>
          <w:sz w:val="16"/>
        </w:rPr>
        <w:t>•</w:t>
        <w:tab/>
      </w:r>
      <w:r>
        <w:rPr>
          <w:rFonts w:ascii="Arial" w:hAnsi="Arial"/>
          <w:b w:val="0"/>
          <w:i w:val="0"/>
          <w:color w:val="1A1A1A"/>
          <w:sz w:val="16"/>
        </w:rPr>
        <w:t>Statistical rigor: bootstrap confidence intervals, Welch's t-test, Cohen's d effect size, saturation detection. CI/CD integration with regression detection and automated safety gates. Stack: FastAPI orchestrator, TimescaleDB, Redis job queue, Next.js dashboard, Ollama.</w:t>
      </w:r>
    </w:p>
    <w:p>
      <w:pPr>
        <w:spacing w:before="45" w:after="5"/>
      </w:pPr>
      <w:r>
        <w:rPr>
          <w:rFonts w:ascii="Arial" w:hAnsi="Arial"/>
          <w:b/>
          <w:i w:val="0"/>
          <w:color w:val="1A1A1A"/>
          <w:sz w:val="16"/>
        </w:rPr>
        <w:t>RL Workbench — Post-Training RL Platform</w:t>
      </w:r>
      <w:r>
        <w:rPr>
          <w:rFonts w:ascii="Arial" w:hAnsi="Arial"/>
          <w:b w:val="0"/>
          <w:i w:val="0"/>
          <w:color w:val="888888"/>
          <w:sz w:val="15"/>
        </w:rPr>
        <w:t xml:space="preserve">  (2026)</w:t>
      </w:r>
    </w:p>
    <w:p>
      <w:pPr>
        <w:spacing w:before="4" w:after="4"/>
        <w:ind w:left="360" w:hanging="200"/>
      </w:pPr>
      <w:r>
        <w:rPr>
          <w:rFonts w:ascii="Arial" w:hAnsi="Arial"/>
          <w:b w:val="0"/>
          <w:i w:val="0"/>
          <w:color w:val="1A1A1A"/>
          <w:sz w:val="16"/>
        </w:rPr>
        <w:t>•</w:t>
        <w:tab/>
      </w:r>
      <w:r>
        <w:rPr>
          <w:rFonts w:ascii="Arial" w:hAnsi="Arial"/>
          <w:b w:val="0"/>
          <w:i w:val="0"/>
          <w:color w:val="1A1A1A"/>
          <w:sz w:val="16"/>
        </w:rPr>
        <w:t>Built 3-phase RL post-training workbench: Reward Lab for designing and A/B testing reward functions (RLVR, learned, hybrid) across 4 datasets, Playground for real TRL-powered GRPO/DPO training with live SSE metric streaming, and Arena for head-to-head framework benchmarking (TRL, VeRL, OpenRLHF, NeMo RL) with GPU passthrough.</w:t>
      </w:r>
    </w:p>
    <w:p>
      <w:pPr>
        <w:spacing w:before="4" w:after="4"/>
        <w:ind w:left="360" w:hanging="200"/>
      </w:pPr>
      <w:r>
        <w:rPr>
          <w:rFonts w:ascii="Arial" w:hAnsi="Arial"/>
          <w:b w:val="0"/>
          <w:i w:val="0"/>
          <w:color w:val="1A1A1A"/>
          <w:sz w:val="16"/>
        </w:rPr>
        <w:t>•</w:t>
        <w:tab/>
      </w:r>
      <w:r>
        <w:rPr>
          <w:rFonts w:ascii="Arial" w:hAnsi="Arial"/>
          <w:b w:val="0"/>
          <w:i w:val="0"/>
          <w:color w:val="1A1A1A"/>
          <w:sz w:val="16"/>
        </w:rPr>
        <w:t>Implemented 12 RL algorithms (PPO, GRPO, DAPO, REINFORCE, DPO, SimPO, IPO, KTO, ORPO, SPPO) with standardized throughput/memory/convergence benchmarking — directly informing model training and evaluation pipeline design.</w:t>
      </w:r>
    </w:p>
    <w:p>
      <w:pPr>
        <w:spacing w:before="45" w:after="5"/>
      </w:pPr>
      <w:r>
        <w:rPr>
          <w:rFonts w:ascii="Arial" w:hAnsi="Arial"/>
          <w:b/>
          <w:i w:val="0"/>
          <w:color w:val="1A1A1A"/>
          <w:sz w:val="16"/>
        </w:rPr>
        <w:t>BRAIN — Protein Structure Prediction ML Platform</w:t>
      </w:r>
      <w:r>
        <w:rPr>
          <w:rFonts w:ascii="Arial" w:hAnsi="Arial"/>
          <w:b w:val="0"/>
          <w:i w:val="0"/>
          <w:color w:val="888888"/>
          <w:sz w:val="15"/>
        </w:rPr>
        <w:t xml:space="preserve">  (UC Berkeley 2004; rewritten 2026)</w:t>
      </w:r>
    </w:p>
    <w:p>
      <w:pPr>
        <w:spacing w:before="4" w:after="4"/>
        <w:ind w:left="360" w:hanging="200"/>
      </w:pPr>
      <w:r>
        <w:rPr>
          <w:rFonts w:ascii="Arial" w:hAnsi="Arial"/>
          <w:b w:val="0"/>
          <w:i w:val="0"/>
          <w:color w:val="1A1A1A"/>
          <w:sz w:val="16"/>
        </w:rPr>
        <w:t>•</w:t>
        <w:tab/>
      </w:r>
      <w:r>
        <w:rPr>
          <w:rFonts w:ascii="Arial" w:hAnsi="Arial"/>
          <w:b w:val="0"/>
          <w:i w:val="0"/>
          <w:color w:val="1A1A1A"/>
          <w:sz w:val="16"/>
        </w:rPr>
        <w:t>Built production ML platform in PyTorch with 5 neural architectures (feedforward, GRU, Transformer, ESM-2, multi-task), MLflow experiment tracking, Optuna HPO, and FastAPI serving — 823 automated tests, Docker orchestration (6 containers); spans 413 to 8B parameters.</w:t>
      </w:r>
    </w:p>
    <w:p>
      <w:pPr>
        <w:spacing w:before="4" w:after="4"/>
        <w:ind w:left="360" w:hanging="200"/>
      </w:pPr>
      <w:r>
        <w:rPr>
          <w:rFonts w:ascii="Arial" w:hAnsi="Arial"/>
          <w:b w:val="0"/>
          <w:i w:val="0"/>
          <w:color w:val="1A1A1A"/>
          <w:sz w:val="16"/>
        </w:rPr>
        <w:t>•</w:t>
        <w:tab/>
      </w:r>
      <w:r>
        <w:rPr>
          <w:rFonts w:ascii="Arial" w:hAnsi="Arial"/>
          <w:b w:val="0"/>
          <w:i w:val="0"/>
          <w:color w:val="1A1A1A"/>
          <w:sz w:val="16"/>
        </w:rPr>
        <w:t>NeurIPS 2014 accepted paper on artificial neural networks for protein secondary structure prediction.</w:t>
      </w:r>
    </w:p>
    <w:p>
      <w:pPr>
        <w:spacing w:before="45" w:after="5"/>
      </w:pPr>
      <w:r>
        <w:rPr>
          <w:rFonts w:ascii="Arial" w:hAnsi="Arial"/>
          <w:b/>
          <w:i w:val="0"/>
          <w:color w:val="1A1A1A"/>
          <w:sz w:val="16"/>
        </w:rPr>
        <w:t>AutoEval — Automated Visual Evaluation for Robot Model Training</w:t>
      </w:r>
      <w:r>
        <w:rPr>
          <w:rFonts w:ascii="Arial" w:hAnsi="Arial"/>
          <w:b w:val="0"/>
          <w:i w:val="0"/>
          <w:color w:val="888888"/>
          <w:sz w:val="15"/>
        </w:rPr>
        <w:t xml:space="preserve">  (2025)</w:t>
      </w:r>
    </w:p>
    <w:p>
      <w:pPr>
        <w:spacing w:before="4" w:after="4"/>
        <w:ind w:left="360" w:hanging="200"/>
      </w:pPr>
      <w:r>
        <w:rPr>
          <w:rFonts w:ascii="Arial" w:hAnsi="Arial"/>
          <w:b w:val="0"/>
          <w:i w:val="0"/>
          <w:color w:val="1A1A1A"/>
          <w:sz w:val="16"/>
        </w:rPr>
        <w:t>•</w:t>
        <w:tab/>
      </w:r>
      <w:r>
        <w:rPr>
          <w:rFonts w:ascii="Arial" w:hAnsi="Arial"/>
          <w:b w:val="0"/>
          <w:i w:val="0"/>
          <w:color w:val="1A1A1A"/>
          <w:sz w:val="16"/>
        </w:rPr>
        <w:t>Built automated visual evaluation system using multimodal AI (Claude/GPT-4V) to score model outputs against natural-language rubrics — reducing evaluation cycles from 72 hours to ~4 minutes; zero-integration architecture captures from any visualization tool via screen capture.</w:t>
      </w:r>
    </w:p>
    <w:p>
      <w:pPr>
        <w:spacing w:before="100" w:after="18"/>
        <w:pBdr>
          <w:bottom w:val="single" w:sz="8" w:space="4" w:color="2B547E"/>
        </w:pBdr>
      </w:pPr>
      <w:r>
        <w:rPr>
          <w:rFonts w:ascii="Arial" w:hAnsi="Arial"/>
          <w:b/>
          <w:i w:val="0"/>
          <w:color w:val="2B547E"/>
          <w:sz w:val="19"/>
        </w:rPr>
        <w:t>EDUCATION</w:t>
      </w:r>
    </w:p>
    <w:p>
      <w:pPr>
        <w:spacing w:before="28" w:after="2"/>
      </w:pPr>
      <w:r>
        <w:rPr>
          <w:rFonts w:ascii="Arial" w:hAnsi="Arial"/>
          <w:b/>
          <w:i w:val="0"/>
          <w:color w:val="1A1A1A"/>
          <w:sz w:val="17"/>
        </w:rPr>
        <w:t>CARNEGIE MELLON UNIVERSITY, SILICON VALLEY</w:t>
      </w:r>
    </w:p>
    <w:p>
      <w:pPr>
        <w:spacing w:before="0" w:after="5"/>
      </w:pPr>
      <w:r>
        <w:rPr>
          <w:rFonts w:ascii="Arial" w:hAnsi="Arial"/>
          <w:b w:val="0"/>
          <w:i w:val="0"/>
          <w:color w:val="555555"/>
          <w:sz w:val="16"/>
        </w:rPr>
        <w:t>Master of Science — Software Management</w:t>
      </w:r>
      <w:r>
        <w:rPr>
          <w:rFonts w:ascii="Arial" w:hAnsi="Arial"/>
          <w:b w:val="0"/>
          <w:i w:val="0"/>
          <w:color w:val="888888"/>
          <w:sz w:val="15"/>
        </w:rPr>
        <w:t xml:space="preserve">    Mountain View, CA (08/16)</w:t>
      </w:r>
    </w:p>
    <w:p>
      <w:pPr>
        <w:spacing w:before="28" w:after="2"/>
      </w:pPr>
      <w:r>
        <w:rPr>
          <w:rFonts w:ascii="Arial" w:hAnsi="Arial"/>
          <w:b/>
          <w:i w:val="0"/>
          <w:color w:val="1A1A1A"/>
          <w:sz w:val="17"/>
        </w:rPr>
        <w:t>CARNEGIE MELLON, TEPPER SCHOOL OF BUSINESS</w:t>
      </w:r>
    </w:p>
    <w:p>
      <w:pPr>
        <w:spacing w:before="0" w:after="5"/>
      </w:pPr>
      <w:r>
        <w:rPr>
          <w:rFonts w:ascii="Arial" w:hAnsi="Arial"/>
          <w:b w:val="0"/>
          <w:i w:val="0"/>
          <w:color w:val="555555"/>
          <w:sz w:val="16"/>
        </w:rPr>
        <w:t>Master of Business Administration — Concentrations: Finance, Quantitative Analysis, Economics</w:t>
      </w:r>
      <w:r>
        <w:rPr>
          <w:rFonts w:ascii="Arial" w:hAnsi="Arial"/>
          <w:b w:val="0"/>
          <w:i w:val="0"/>
          <w:color w:val="888888"/>
          <w:sz w:val="15"/>
        </w:rPr>
        <w:t xml:space="preserve">    Pittsburgh, PA (03/12)</w:t>
      </w:r>
    </w:p>
    <w:p>
      <w:pPr>
        <w:spacing w:before="28" w:after="2"/>
      </w:pPr>
      <w:r>
        <w:rPr>
          <w:rFonts w:ascii="Arial" w:hAnsi="Arial"/>
          <w:b/>
          <w:i w:val="0"/>
          <w:color w:val="1A1A1A"/>
          <w:sz w:val="17"/>
        </w:rPr>
        <w:t>UC BERKELEY, COLLEGE OF ENGINEERING &amp; HAAS SCHOOL OF BUSINESS</w:t>
      </w:r>
    </w:p>
    <w:p>
      <w:pPr>
        <w:spacing w:before="0" w:after="5"/>
      </w:pPr>
      <w:r>
        <w:rPr>
          <w:rFonts w:ascii="Arial" w:hAnsi="Arial"/>
          <w:b w:val="0"/>
          <w:i w:val="0"/>
          <w:color w:val="555555"/>
          <w:sz w:val="16"/>
        </w:rPr>
        <w:t>Bachelor of Science — Computational Engineering Science</w:t>
      </w:r>
      <w:r>
        <w:rPr>
          <w:rFonts w:ascii="Arial" w:hAnsi="Arial"/>
          <w:b w:val="0"/>
          <w:i w:val="0"/>
          <w:color w:val="888888"/>
          <w:sz w:val="15"/>
        </w:rPr>
        <w:t xml:space="preserve">    Berkeley, CA (12/05)</w:t>
      </w:r>
    </w:p>
    <w:p>
      <w:pPr>
        <w:spacing w:before="0" w:after="5"/>
      </w:pPr>
      <w:r>
        <w:rPr>
          <w:rFonts w:ascii="Arial" w:hAnsi="Arial"/>
          <w:b w:val="0"/>
          <w:i w:val="0"/>
          <w:color w:val="555555"/>
          <w:sz w:val="16"/>
        </w:rPr>
        <w:t>Certificate — Corporate Finance for Financial Engineering</w:t>
      </w:r>
    </w:p>
    <w:p>
      <w:pPr>
        <w:spacing w:before="100" w:after="18"/>
        <w:pBdr>
          <w:bottom w:val="single" w:sz="8" w:space="4" w:color="2B547E"/>
        </w:pBdr>
      </w:pPr>
      <w:r>
        <w:rPr>
          <w:rFonts w:ascii="Arial" w:hAnsi="Arial"/>
          <w:b/>
          <w:i w:val="0"/>
          <w:color w:val="2B547E"/>
          <w:sz w:val="19"/>
        </w:rPr>
        <w:t>TEACHING EXPERIENCE</w:t>
      </w:r>
    </w:p>
    <w:p>
      <w:pPr>
        <w:spacing w:before="55" w:after="0"/>
      </w:pPr>
      <w:r>
        <w:rPr>
          <w:rFonts w:ascii="Arial" w:hAnsi="Arial"/>
          <w:b/>
          <w:i w:val="0"/>
          <w:color w:val="1A1A1A"/>
          <w:sz w:val="17"/>
        </w:rPr>
        <w:t>DE ANZA COLLEGE</w:t>
      </w:r>
      <w:r>
        <w:rPr>
          <w:rFonts w:ascii="Arial" w:hAnsi="Arial"/>
          <w:b w:val="0"/>
          <w:i w:val="0"/>
          <w:color w:val="888888"/>
          <w:sz w:val="15"/>
        </w:rPr>
        <w:t xml:space="preserve">  |  Cupertino, CA</w:t>
      </w:r>
    </w:p>
    <w:p>
      <w:pPr>
        <w:spacing w:before="3" w:after="10"/>
      </w:pPr>
      <w:r>
        <w:rPr>
          <w:rFonts w:ascii="Arial" w:hAnsi="Arial"/>
          <w:b w:val="0"/>
          <w:i/>
          <w:color w:val="555555"/>
          <w:sz w:val="16"/>
        </w:rPr>
        <w:t>Adjunct Faculty — Computer Information Systems Department</w:t>
      </w:r>
      <w:r>
        <w:rPr>
          <w:rFonts w:ascii="Arial" w:hAnsi="Arial"/>
          <w:b w:val="0"/>
          <w:i w:val="0"/>
          <w:color w:val="888888"/>
          <w:sz w:val="15"/>
        </w:rPr>
        <w:t xml:space="preserve">    04/18 – 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Courses: Java Programming (CIS 35A/B, 36A/B), Introduction to PL/SQL (CIS 64C/G), Introduction to Data Analytics (CIS 44F), Fundamentals of Large Scale Cloud Computing — AWS, GCP (CIS 64E), Ethical Hacking (CIS 102), Digital Forensics (CIS 104), Managing Cloud Projects (CIS 95F).</w:t>
      </w:r>
    </w:p>
    <w:p>
      <w:pPr>
        <w:spacing w:before="100" w:after="18"/>
        <w:pBdr>
          <w:bottom w:val="single" w:sz="8" w:space="4" w:color="2B547E"/>
        </w:pBdr>
      </w:pPr>
      <w:r>
        <w:rPr>
          <w:rFonts w:ascii="Arial" w:hAnsi="Arial"/>
          <w:b/>
          <w:i w:val="0"/>
          <w:color w:val="2B547E"/>
          <w:sz w:val="19"/>
        </w:rPr>
        <w:t>ADDITIONAL INFORMATION</w:t>
      </w:r>
    </w:p>
    <w:p>
      <w:pPr>
        <w:spacing w:before="4" w:after="4"/>
        <w:ind w:left="360" w:hanging="200"/>
      </w:pPr>
      <w:r>
        <w:rPr>
          <w:rFonts w:ascii="Arial" w:hAnsi="Arial"/>
          <w:b w:val="0"/>
          <w:i w:val="0"/>
          <w:color w:val="1A1A1A"/>
          <w:sz w:val="16"/>
        </w:rPr>
        <w:t>•</w:t>
        <w:tab/>
      </w:r>
      <w:r>
        <w:rPr>
          <w:rFonts w:ascii="Arial" w:hAnsi="Arial"/>
          <w:b w:val="0"/>
          <w:i w:val="0"/>
          <w:color w:val="1A1A1A"/>
          <w:sz w:val="16"/>
        </w:rPr>
        <w:t>FAA Commercial Drone License; FAA Private Pilot License (intended CFI)</w:t>
      </w:r>
    </w:p>
    <w:p>
      <w:pPr>
        <w:spacing w:before="4" w:after="4"/>
        <w:ind w:left="360" w:hanging="200"/>
      </w:pPr>
      <w:r>
        <w:rPr>
          <w:rFonts w:ascii="Arial" w:hAnsi="Arial"/>
          <w:b w:val="0"/>
          <w:i w:val="0"/>
          <w:color w:val="1A1A1A"/>
          <w:sz w:val="16"/>
        </w:rPr>
        <w:t>•</w:t>
        <w:tab/>
      </w:r>
      <w:r>
        <w:rPr>
          <w:rFonts w:ascii="Arial" w:hAnsi="Arial"/>
          <w:b w:val="0"/>
          <w:i w:val="0"/>
          <w:color w:val="1A1A1A"/>
          <w:sz w:val="16"/>
        </w:rPr>
        <w:t>O'Reilly &amp; OER Publications: Data Analytics and Managing Cloud Projects (forthcoming Summer 2026)</w:t>
      </w:r>
    </w:p>
    <w:p>
      <w:pPr>
        <w:spacing w:before="4" w:after="4"/>
        <w:ind w:left="360" w:hanging="200"/>
      </w:pPr>
      <w:r>
        <w:rPr>
          <w:rFonts w:ascii="Arial" w:hAnsi="Arial"/>
          <w:b w:val="0"/>
          <w:i w:val="0"/>
          <w:color w:val="1A1A1A"/>
          <w:sz w:val="16"/>
        </w:rPr>
        <w:t>•</w:t>
        <w:tab/>
      </w:r>
      <w:r>
        <w:rPr>
          <w:rFonts w:ascii="Arial" w:hAnsi="Arial"/>
          <w:b w:val="0"/>
          <w:i w:val="0"/>
          <w:color w:val="1A1A1A"/>
          <w:sz w:val="16"/>
        </w:rPr>
        <w:t>First Tee Assistant Golf Coach — San Francisco Chapter (2012–Present), Pittsburgh Chapter (2011–2012)</w:t>
      </w:r>
    </w:p>
    <w:p>
      <w:pPr>
        <w:spacing w:before="4" w:after="4"/>
        <w:ind w:left="360" w:hanging="200"/>
      </w:pPr>
      <w:r>
        <w:rPr>
          <w:rFonts w:ascii="Arial" w:hAnsi="Arial"/>
          <w:b w:val="0"/>
          <w:i w:val="0"/>
          <w:color w:val="1A1A1A"/>
          <w:sz w:val="16"/>
        </w:rPr>
        <w:t>•</w:t>
        <w:tab/>
      </w:r>
      <w:r>
        <w:rPr>
          <w:rFonts w:ascii="Arial" w:hAnsi="Arial"/>
          <w:b w:val="0"/>
          <w:i w:val="0"/>
          <w:color w:val="1A1A1A"/>
          <w:sz w:val="16"/>
        </w:rPr>
        <w:t>Interests: Classical &amp; Jazz Saxophone (Alto/Tenor/Baritone), Triathlon, Golf, Intramural Basketball &amp; Soccer</w:t>
      </w:r>
    </w:p>
    <w:sectPr w:rsidR="00FC693F" w:rsidRPr="0006063C" w:rsidSect="00034616">
      <w:pgSz w:w="12240" w:h="15840"/>
      <w:pgMar w:top="400" w:right="560" w:bottom="380" w:left="5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felixamoruwa.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