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center"/>
      </w:pPr>
      <w:r>
        <w:rPr>
          <w:rFonts w:ascii="Arial" w:hAnsi="Arial"/>
          <w:b/>
          <w:i w:val="0"/>
          <w:color w:val="1A1A1A"/>
          <w:sz w:val="26"/>
        </w:rPr>
        <w:t>O. FELIX AMORUWA</w:t>
      </w:r>
    </w:p>
    <w:p>
      <w:pPr>
        <w:spacing w:before="0" w:after="10"/>
        <w:jc w:val="center"/>
      </w:pPr>
      <w:r>
        <w:rPr>
          <w:rFonts w:ascii="Arial" w:hAnsi="Arial"/>
          <w:b w:val="0"/>
          <w:i w:val="0"/>
          <w:color w:val="555555"/>
          <w:sz w:val="16"/>
        </w:rPr>
        <w:t xml:space="preserve">famoruwa@berkeley.edu  |  909-731-9011  |  </w:t>
      </w:r>
      <w:hyperlink r:id="rId9">
        <w:r>
          <w:rPr>
            <w:rFonts w:ascii="Arial" w:hAnsi="Arial"/>
            <w:sz w:val="16"/>
            <w:color w:val="2B547E"/>
            <w:u w:val="single"/>
          </w:rPr>
          <w:t xml:space="preserve">felixamoruwa.info</w:t>
        </w:r>
      </w:hyperlink>
    </w:p>
    <w:p>
      <w:pPr>
        <w:spacing w:before="55" w:after="55"/>
      </w:pPr>
      <w:r>
        <w:rPr>
          <w:rFonts w:ascii="Arial" w:hAnsi="Arial"/>
          <w:b w:val="0"/>
          <w:i w:val="0"/>
          <w:color w:val="555555"/>
          <w:sz w:val="16"/>
        </w:rPr>
        <w:t>Technical Product Leader with 12+ years building high-scale products at the intersection of search, data, and ML — including direct ownership of Search Service, Search Catalog, and query performance optimization at Splunk, and scaling a platform to 675M+ engagements at Intuit. NeurIPS published ML researcher who regularly applies state-of-the-art AI to solve business problems, from RL post-training benchmarks to production evaluation platforms with rigorous offline metrics. Proven startup founder (2× companies) with the resourcefulness to move fast and execute 0-to-1 in ambiguous environments. BS Computational Engineering, UC Berkeley; MBA, Carnegie Mellon Tepper.</w:t>
      </w:r>
    </w:p>
    <w:p>
      <w:pPr>
        <w:spacing w:before="100" w:after="18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PROFESSIONAL EXPERIENCE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SPLUNK INC.</w:t>
      </w:r>
      <w:r>
        <w:rPr>
          <w:rFonts w:ascii="Arial" w:hAnsi="Arial"/>
          <w:b w:val="0"/>
          <w:i w:val="0"/>
          <w:color w:val="888888"/>
          <w:sz w:val="15"/>
        </w:rPr>
        <w:t xml:space="preserve">  |  San Francisco,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7"/>
        </w:rPr>
        <w:t>Senior Product Manager — Search Orchestration</w:t>
      </w:r>
      <w:r>
        <w:rPr>
          <w:rFonts w:ascii="Arial" w:hAnsi="Arial"/>
          <w:b w:val="0"/>
          <w:i w:val="0"/>
          <w:color w:val="888888"/>
          <w:sz w:val="15"/>
        </w:rPr>
        <w:t xml:space="preserve">    01/19 – 01/21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Owned Search Service (Go microservices), Search Catalog (PostgreSQL metadata service), and Splunk Processing Language (SPL/SPL2) — built product roadmaps, PRDs, user stories, and acceptance criteria for Splunk Cloud Services (SCS), directly managing the core search algorithms and query execution stack.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Led query performance optimization initiative for beta customer (Assurance), building mirrored Enterprise topology for benchmark testing and achieving up to 10x performance improvements in SCS search — diagnosing root causes of failure modes and validating fixes through rigorous offline benchmarking.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Delivered Scheduler Service end-to-end in ~4 months (June–Oct 2019), enabling scheduled search capabilities for first-party applications; demoed at Splunk .conf19.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Designed repeatable RICE-based prioritization framework for 3 microservice backlogs, balancing internal partner, third-party developer, and Fortune 500 customer requirements. Splunk .conf18 Speaker.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INTUIT</w:t>
      </w:r>
      <w:r>
        <w:rPr>
          <w:rFonts w:ascii="Arial" w:hAnsi="Arial"/>
          <w:b w:val="0"/>
          <w:i w:val="0"/>
          <w:color w:val="888888"/>
          <w:sz w:val="15"/>
        </w:rPr>
        <w:t xml:space="preserve">  |  Mountain View,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7"/>
        </w:rPr>
        <w:t>Staff Product Manager — Developer Frameworks &amp; Platform Infrastructure</w:t>
      </w:r>
      <w:r>
        <w:rPr>
          <w:rFonts w:ascii="Arial" w:hAnsi="Arial"/>
          <w:b w:val="0"/>
          <w:i w:val="0"/>
          <w:color w:val="888888"/>
          <w:sz w:val="15"/>
        </w:rPr>
        <w:t xml:space="preserve">    06/21 – 09/24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Achieved 275% YoY growth in ICE engagements, scaling to 675M+ in FY23 across QuickBooks, TurboTax, Mint, Mailchimp, and Credit Karma; scaled throughput from 6K to 50K TPS via rSocket migration supporting ~1.5M concurrent connections with sub-25ms TP99 — demonstrating ability to build high-scale products through state-of-the-art engineering.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Worked closely with telemetry and usage data (SQL, BigQuery) to prioritize developer pain points across ~20 mobile apps and 30+ product SKUs, translating data signals into roadmap decisions — directly analogous to refining online metrics to understand platform performance.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Conducted enterprise-wide Service Language Assessment across 9 languages, analyzing usage data and developer feedback to inform strategic investment decisions presented to CTO; evaluated tradeoffs across velocity, scale, cost, and modularity.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Delivered ICE Self-Service platform (DevPortal, GitOps config, ICE Playground), reducing developer onboarding from 2–3 weeks to minutes in pre-prod and &lt;24 hours for production, while mitigating $1M+ in projected opex growth.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Implemented ICE Presence in async chat, generating $480K/month in additional invoicing; deployed Background-to-Foreground Messaging on iOS/Android with &lt;100ms latency.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STREAMIO AI</w:t>
      </w:r>
      <w:r>
        <w:rPr>
          <w:rFonts w:ascii="Arial" w:hAnsi="Arial"/>
          <w:b w:val="0"/>
          <w:i w:val="0"/>
          <w:color w:val="888888"/>
          <w:sz w:val="15"/>
        </w:rPr>
        <w:t xml:space="preserve">  |  Oakland,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7"/>
        </w:rPr>
        <w:t>Founder &amp; CEO — streamio.ai (macOS, Linux, iOS &amp; Web)</w:t>
      </w:r>
      <w:r>
        <w:rPr>
          <w:rFonts w:ascii="Arial" w:hAnsi="Arial"/>
          <w:b w:val="0"/>
          <w:i w:val="0"/>
          <w:color w:val="888888"/>
          <w:sz w:val="15"/>
        </w:rPr>
        <w:t xml:space="preserve">    09/24 – Present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Founded and shipped a production AI platform 0-to-1 — applying ML/AI to solve business problems across real estate, financial markets, and insurance; led customer discovery, iterative product refinement, and go-to-market execution as a relentlessly resourceful solo founder.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Implemented OpenClaw multi-agent orchestration framework with gateway protocol and subagent delegation — enabling coordinated AI agent workflows across multiple industry verticals.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Built end-to-end production application (Electron + React + TypeScript, 100+ components, Redux Toolkit) with real-time AI analysis via Claude (MCP SDK), native macOS/Linux support, and cross-platform iOS streaming app.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FINTELLECT AI</w:t>
      </w:r>
      <w:r>
        <w:rPr>
          <w:rFonts w:ascii="Arial" w:hAnsi="Arial"/>
          <w:b w:val="0"/>
          <w:i w:val="0"/>
          <w:color w:val="888888"/>
          <w:sz w:val="15"/>
        </w:rPr>
        <w:t xml:space="preserve">  |  Oakland,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7"/>
        </w:rPr>
        <w:t>Founder &amp; CEO — fintellectai.io (iOS/Android/Web)</w:t>
      </w:r>
      <w:r>
        <w:rPr>
          <w:rFonts w:ascii="Arial" w:hAnsi="Arial"/>
          <w:b w:val="0"/>
          <w:i w:val="0"/>
          <w:color w:val="888888"/>
          <w:sz w:val="15"/>
        </w:rPr>
        <w:t xml:space="preserve">    09/24 – Present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Architected RAG retrieval pipeline with ChromaDB vector store, multi-provider LLM orchestration (Claude, GPT-4, Gemini) with fallback routing, and structured output validation — applying state-of-the-art ML/AI to deliver personalized, context-aware financial discovery experiences.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Built AI-powered charting and macroeconomic analysis tools; executed go-to-market through App Store launch following customer discovery and influencer partnership development.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KAISER PERMANENTE</w:t>
      </w:r>
      <w:r>
        <w:rPr>
          <w:rFonts w:ascii="Arial" w:hAnsi="Arial"/>
          <w:b w:val="0"/>
          <w:i w:val="0"/>
          <w:color w:val="888888"/>
          <w:sz w:val="15"/>
        </w:rPr>
        <w:t xml:space="preserve">  |  Pleasanton,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7"/>
        </w:rPr>
        <w:t>SOA Technical Product Manager</w:t>
      </w:r>
      <w:r>
        <w:rPr>
          <w:rFonts w:ascii="Arial" w:hAnsi="Arial"/>
          <w:b w:val="0"/>
          <w:i w:val="0"/>
          <w:color w:val="888888"/>
          <w:sz w:val="15"/>
        </w:rPr>
        <w:t xml:space="preserve">    08/12 – 12/18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Led development and enterprise rollout of Splunk Logging-as-a-Service (1.7 TB daily volume, 200+ internal enterprise customers) and ITSI Application Monitoring-as-a-Service — managing high-scale data platform products end-to-end.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Led demand forecasting and capacity planning for SOA product suite, analyzing demand drivers and developing IT capacity plans across multiple datacenters.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IBM</w:t>
      </w:r>
      <w:r>
        <w:rPr>
          <w:rFonts w:ascii="Arial" w:hAnsi="Arial"/>
          <w:b w:val="0"/>
          <w:i w:val="0"/>
          <w:color w:val="888888"/>
          <w:sz w:val="15"/>
        </w:rPr>
        <w:t xml:space="preserve">  |  Pittsburgh, PA / Foster City, CA / RTP, NC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7"/>
        </w:rPr>
        <w:t>Software Engineer — Business Intelligence Products</w:t>
      </w:r>
      <w:r>
        <w:rPr>
          <w:rFonts w:ascii="Arial" w:hAnsi="Arial"/>
          <w:b w:val="0"/>
          <w:i w:val="0"/>
          <w:color w:val="888888"/>
          <w:sz w:val="15"/>
        </w:rPr>
        <w:t xml:space="preserve">    07/05 – 03/10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Resolved multiple $1–5M high-severity customer escalations for enterprise BI software products; led cross-functional root cause analysis and customer-facing resolution, improving case resolution time by 20% across the Support Organization.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BANK OF AMERICA MERRILL LYNCH</w:t>
      </w:r>
      <w:r>
        <w:rPr>
          <w:rFonts w:ascii="Arial" w:hAnsi="Arial"/>
          <w:b w:val="0"/>
          <w:i w:val="0"/>
          <w:color w:val="888888"/>
          <w:sz w:val="15"/>
        </w:rPr>
        <w:t xml:space="preserve">  |  Charlotte, NC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7"/>
        </w:rPr>
        <w:t>Tech MBA Summer Associate — Global Corporate &amp; Investment Banking T&amp;O</w:t>
      </w:r>
      <w:r>
        <w:rPr>
          <w:rFonts w:ascii="Arial" w:hAnsi="Arial"/>
          <w:b w:val="0"/>
          <w:i w:val="0"/>
          <w:color w:val="888888"/>
          <w:sz w:val="15"/>
        </w:rPr>
        <w:t xml:space="preserve">    06/11 – 08/11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Developed enhanced estimation model using Monte Carlo simulation to optimize DMAIC phase distribution across a $494M portfolio in Global Technology &amp; Operations.</w:t>
      </w:r>
    </w:p>
    <w:p>
      <w:pPr>
        <w:spacing w:before="100" w:after="18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AI/ML RESEARCH &amp; PROJECTS</w:t>
      </w:r>
    </w:p>
    <w:p>
      <w:pPr>
        <w:spacing w:before="45" w:after="5"/>
      </w:pPr>
      <w:r>
        <w:rPr>
          <w:rFonts w:ascii="Arial" w:hAnsi="Arial"/>
          <w:b/>
          <w:i w:val="0"/>
          <w:color w:val="1A1A1A"/>
          <w:sz w:val="16"/>
        </w:rPr>
        <w:t>aeval — AI Model Evaluation Platform</w:t>
      </w:r>
      <w:r>
        <w:rPr>
          <w:rFonts w:ascii="Arial" w:hAnsi="Arial"/>
          <w:b w:val="0"/>
          <w:i w:val="0"/>
          <w:color w:val="888888"/>
          <w:sz w:val="15"/>
        </w:rPr>
        <w:t xml:space="preserve">  (2025–2026)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Built local-first evaluation platform with 5 core eval types (factuality, reasoning, instruction-following, safety, code generation) and rigorous offline metrics — bootstrap confidence intervals, Welch's t-test, Cohen's d effect size, saturation detection — directly applicable to diagnosing search system failure modes and validating algorithm improvements.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CI/CD integration with regression detection and automated safety gates; adversarial safety testing with refusal detection. Stack: FastAPI orchestrator, TimescaleDB, Redis job queue, Next.js dashboard, Ollama.</w:t>
      </w:r>
    </w:p>
    <w:p>
      <w:pPr>
        <w:spacing w:before="45" w:after="5"/>
      </w:pPr>
      <w:r>
        <w:rPr>
          <w:rFonts w:ascii="Arial" w:hAnsi="Arial"/>
          <w:b/>
          <w:i w:val="0"/>
          <w:color w:val="1A1A1A"/>
          <w:sz w:val="16"/>
        </w:rPr>
        <w:t>RL Workbench — Post-Training RL Platform</w:t>
      </w:r>
      <w:r>
        <w:rPr>
          <w:rFonts w:ascii="Arial" w:hAnsi="Arial"/>
          <w:b w:val="0"/>
          <w:i w:val="0"/>
          <w:color w:val="888888"/>
          <w:sz w:val="15"/>
        </w:rPr>
        <w:t xml:space="preserve">  (2026)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Built 3-phase RL post-training workbench covering the full RLHF/DPO pipeline: Reward Lab for designing and A/B testing reward functions across 4 datasets (GSM8K, MATH, HumanEval, UltraFeedback), Playground for real TRL-powered GRPO/DPO training with live SSE metric streaming, and Arena for head-to-head framework benchmarking (TRL, VeRL, OpenRLHF, NeMo RL).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Implemented 12 RL algorithms (PPO, GRPO, DAPO, REINFORCE, DPO, SimPO, IPO, KTO, ORPO, SPPO) with standardized throughput/memory/convergence benchmarking across frameworks — building deep fluency in the ML/AI advancements powering modern ranking and recommendation systems.</w:t>
      </w:r>
    </w:p>
    <w:p>
      <w:pPr>
        <w:spacing w:before="45" w:after="5"/>
      </w:pPr>
      <w:r>
        <w:rPr>
          <w:rFonts w:ascii="Arial" w:hAnsi="Arial"/>
          <w:b/>
          <w:i w:val="0"/>
          <w:color w:val="1A1A1A"/>
          <w:sz w:val="16"/>
        </w:rPr>
        <w:t>BRAIN — Protein Structure Prediction ML Platform</w:t>
      </w:r>
      <w:r>
        <w:rPr>
          <w:rFonts w:ascii="Arial" w:hAnsi="Arial"/>
          <w:b w:val="0"/>
          <w:i w:val="0"/>
          <w:color w:val="888888"/>
          <w:sz w:val="15"/>
        </w:rPr>
        <w:t xml:space="preserve">  (UC Berkeley 2004; rewritten 2026)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NeurIPS 2014 accepted paper; production ML platform in PyTorch with 5 neural architectures (feedforward, GRU, Transformer, ESM-2, multi-task), MLflow experiment tracking, Optuna HPO, and FastAPI serving — spanning 413 to 8B parameters (19M-fold scale increase).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Original 2004 system: hand-coded neural network in C++ with custom BPTT; Lawrence Berkeley National Laboratory computational analysis under Dr. Steven Holbrook.</w:t>
      </w:r>
    </w:p>
    <w:p>
      <w:pPr>
        <w:spacing w:before="45" w:after="5"/>
      </w:pPr>
      <w:r>
        <w:rPr>
          <w:rFonts w:ascii="Arial" w:hAnsi="Arial"/>
          <w:b/>
          <w:i w:val="0"/>
          <w:color w:val="1A1A1A"/>
          <w:sz w:val="16"/>
        </w:rPr>
        <w:t>AutoEval — Automated Visual Evaluation for Robot Model Training</w:t>
      </w:r>
      <w:r>
        <w:rPr>
          <w:rFonts w:ascii="Arial" w:hAnsi="Arial"/>
          <w:b w:val="0"/>
          <w:i w:val="0"/>
          <w:color w:val="888888"/>
          <w:sz w:val="15"/>
        </w:rPr>
        <w:t xml:space="preserve">  (2025)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Built automated visual evaluation system using multimodal AI (Claude/GPT-4V) for spatial reasoning on prediction frames — generating structured PASS/FAIL reports with confidence scores; reduced evaluation cycles from 72 hours to ~4 minutes.</w:t>
      </w:r>
    </w:p>
    <w:p>
      <w:pPr>
        <w:spacing w:before="100" w:after="18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EDUCATION</w:t>
      </w:r>
    </w:p>
    <w:p>
      <w:pPr>
        <w:spacing w:before="28" w:after="2"/>
      </w:pPr>
      <w:r>
        <w:rPr>
          <w:rFonts w:ascii="Arial" w:hAnsi="Arial"/>
          <w:b/>
          <w:i w:val="0"/>
          <w:color w:val="1A1A1A"/>
          <w:sz w:val="17"/>
        </w:rPr>
        <w:t>CARNEGIE MELLON UNIVERSITY, SILICON VALLEY</w:t>
      </w:r>
    </w:p>
    <w:p>
      <w:pPr>
        <w:spacing w:before="0" w:after="5"/>
      </w:pPr>
      <w:r>
        <w:rPr>
          <w:rFonts w:ascii="Arial" w:hAnsi="Arial"/>
          <w:b w:val="0"/>
          <w:i w:val="0"/>
          <w:color w:val="555555"/>
          <w:sz w:val="16"/>
        </w:rPr>
        <w:t>Master of Science — Software Management</w:t>
      </w:r>
      <w:r>
        <w:rPr>
          <w:rFonts w:ascii="Arial" w:hAnsi="Arial"/>
          <w:b w:val="0"/>
          <w:i w:val="0"/>
          <w:color w:val="888888"/>
          <w:sz w:val="15"/>
        </w:rPr>
        <w:t xml:space="preserve">    Mountain View, CA (08/16)</w:t>
      </w:r>
    </w:p>
    <w:p>
      <w:pPr>
        <w:spacing w:before="28" w:after="2"/>
      </w:pPr>
      <w:r>
        <w:rPr>
          <w:rFonts w:ascii="Arial" w:hAnsi="Arial"/>
          <w:b/>
          <w:i w:val="0"/>
          <w:color w:val="1A1A1A"/>
          <w:sz w:val="17"/>
        </w:rPr>
        <w:t>CARNEGIE MELLON, TEPPER SCHOOL OF BUSINESS</w:t>
      </w:r>
    </w:p>
    <w:p>
      <w:pPr>
        <w:spacing w:before="0" w:after="5"/>
      </w:pPr>
      <w:r>
        <w:rPr>
          <w:rFonts w:ascii="Arial" w:hAnsi="Arial"/>
          <w:b w:val="0"/>
          <w:i w:val="0"/>
          <w:color w:val="555555"/>
          <w:sz w:val="16"/>
        </w:rPr>
        <w:t>Master of Business Administration — Concentrations: Finance, Quantitative Analysis, Economics</w:t>
      </w:r>
      <w:r>
        <w:rPr>
          <w:rFonts w:ascii="Arial" w:hAnsi="Arial"/>
          <w:b w:val="0"/>
          <w:i w:val="0"/>
          <w:color w:val="888888"/>
          <w:sz w:val="15"/>
        </w:rPr>
        <w:t xml:space="preserve">    Pittsburgh, PA (03/12)</w:t>
      </w:r>
    </w:p>
    <w:p>
      <w:pPr>
        <w:spacing w:before="28" w:after="2"/>
      </w:pPr>
      <w:r>
        <w:rPr>
          <w:rFonts w:ascii="Arial" w:hAnsi="Arial"/>
          <w:b/>
          <w:i w:val="0"/>
          <w:color w:val="1A1A1A"/>
          <w:sz w:val="17"/>
        </w:rPr>
        <w:t>UC BERKELEY, COLLEGE OF ENGINEERING &amp; HAAS SCHOOL OF BUSINESS</w:t>
      </w:r>
    </w:p>
    <w:p>
      <w:pPr>
        <w:spacing w:before="0" w:after="5"/>
      </w:pPr>
      <w:r>
        <w:rPr>
          <w:rFonts w:ascii="Arial" w:hAnsi="Arial"/>
          <w:b w:val="0"/>
          <w:i w:val="0"/>
          <w:color w:val="555555"/>
          <w:sz w:val="16"/>
        </w:rPr>
        <w:t>Bachelor of Science — Computational Engineering Science</w:t>
      </w:r>
      <w:r>
        <w:rPr>
          <w:rFonts w:ascii="Arial" w:hAnsi="Arial"/>
          <w:b w:val="0"/>
          <w:i w:val="0"/>
          <w:color w:val="888888"/>
          <w:sz w:val="15"/>
        </w:rPr>
        <w:t xml:space="preserve">    Berkeley, CA (12/05)</w:t>
      </w:r>
    </w:p>
    <w:p>
      <w:pPr>
        <w:spacing w:before="0" w:after="5"/>
      </w:pPr>
      <w:r>
        <w:rPr>
          <w:rFonts w:ascii="Arial" w:hAnsi="Arial"/>
          <w:b w:val="0"/>
          <w:i w:val="0"/>
          <w:color w:val="555555"/>
          <w:sz w:val="16"/>
        </w:rPr>
        <w:t>Certificate — Corporate Finance for Financial Engineering</w:t>
      </w:r>
    </w:p>
    <w:p>
      <w:pPr>
        <w:spacing w:before="100" w:after="18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TEACHING EXPERIENCE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DE ANZA COLLEGE</w:t>
      </w:r>
      <w:r>
        <w:rPr>
          <w:rFonts w:ascii="Arial" w:hAnsi="Arial"/>
          <w:b w:val="0"/>
          <w:i w:val="0"/>
          <w:color w:val="888888"/>
          <w:sz w:val="15"/>
        </w:rPr>
        <w:t xml:space="preserve">  |  Cupertino,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7"/>
        </w:rPr>
        <w:t>Adjunct Faculty — Computer Information Systems Department</w:t>
      </w:r>
      <w:r>
        <w:rPr>
          <w:rFonts w:ascii="Arial" w:hAnsi="Arial"/>
          <w:b w:val="0"/>
          <w:i w:val="0"/>
          <w:color w:val="888888"/>
          <w:sz w:val="15"/>
        </w:rPr>
        <w:t xml:space="preserve">    04/18 – Present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CIS 35A/B, 36A/B — Java Programming; CIS 64C/64G — Introduction to PL/SQL; CIS 44F — Introduction to Data Analytics; CIS 64E — Fundamentals of Large Scale Cloud Computing (AWS, GCP); CIS 102 — Ethical Hacking; CIS 104 — Digital Forensics; CIS 95F — Managing Cloud Projects.</w:t>
      </w:r>
    </w:p>
    <w:p>
      <w:pPr>
        <w:spacing w:before="100" w:after="18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ADDITIONAL INFORMATION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FAA Commercial Drone License; FAA Private Pilot License (intended CFI)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O'Reilly &amp; OER Publications: Data Analytics and Managing Cloud Projects (forthcoming Summer 2026)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First Tee Assistant Golf Coach — San Francisco Chapter (2012–Present), Pittsburgh Chapter (2011–2012)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Interests: Classical &amp; Jazz Saxophone (Alto/Tenor/Baritone), Triathlon, Golf, Intramural Basketball &amp; Soccer</w:t>
      </w:r>
    </w:p>
    <w:sectPr w:rsidR="00FC693F" w:rsidRPr="0006063C" w:rsidSect="00034616">
      <w:pgSz w:w="12240" w:h="15840"/>
      <w:pgMar w:top="400" w:right="560" w:bottom="380" w:left="5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felixamoruwa.inf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