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Consumer AI product leader with 12+ years shipping 0→1 AI-powered experiences at scale — including a fintech AI platform built from the ground up to deliver personalized, proactive financial insights to retail investors. Proven track record translating complex AI/ML capabilities into intuitive, member-facing features: multi-provider LLM orchestration, conversational AI agents, and RAG-powered personalization. Scaled consumer platform to 675M+ engagements (Intuit) using experimentation and analytics to drive prioritization across 20+ mobile apps. NeurIPS published AI researcher; MBA (Carnegie Mellon Tepper).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0→1 AI financial education and investing platform empowering retail investors with personalized, proactive financial insights — merging interactive financial literacy, real-time market data, and curated expert content into an intuitive mobile and web experience.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Architected RAG retrieval pipeline with ChromaDB vector store and multi-provider LLM orchestration (Claude, GPT-4, Gemini) with fallback routing, structured output validation, and token budget optimization — delivering reliable, trustworthy AI responses at scale.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domain-specific Fintellect Agents — conversational AI agents embedded in mobile and web, each scoped to distinct financial focal points, delivering guided, context-aware advisory interactions personalized to each user's goals and behavior.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AI-powered charting and macroeconomic analysis tools to translate complex market data into actionable insights for asset selection, execution planning, and risk management.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customer discovery efforts, iterated on product based on member feedback, and executed go-to-market through App Store launch — validating product-market fit with real users.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0→1 product strategy, AI development, and go-to-market execution for a cross-platform AI application — conducting customer discovery interviews and driving iterative product refinement based on user insights.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OpenClaw multi-agent orchestration framework with gateway protocol and subagent delegation — enabling coordinated, context-aware AI agent workflows across real estate, insurance, health/dental, and financial markets use cases.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production Electron + React + TypeScript desktop application with real-time AI analysis (Claude MCP SDK), contextual conversation, and automated report generation via third-party APIs — translating complex AI capabilities into intuitive user-facing features.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Consumer Platform &amp; Mobile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Scaled consumer platform to 675M+ engagements in FY23 across QuickBooks, TurboTax, Mint, Mailchimp, and Credit Karma — achieved 275% YoY growth by using telemetry, SQL/BigQuery analytics, and experimentation to drive prioritization across 20+ mobile apps and 30+ product SKUs.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ICE Presence in async chat, generating $480K/month in additional invoicing — defined success metrics, ran experiments, and iterated based on member usage data to validate and scale the feature.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Scaled platform throughput from 6K to 50K TPS via rSocket migration supporting ~1.5M concurrent connections with sub-25ms TP99; deployed Background-to-Foreground Messaging on iOS/Android with &lt;100ms latency.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Drove cross-functional prioritization across engineering, data, and design teams — balancing member needs, technical feasibility, and business impact across a complex multi-product portfolio. DeveloperWeek 2022 speaker.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Search &amp; Data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0→1 in ~4 months, enabling scheduled search capabilities for first-party applications; demoed at Splunk .conf19.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RICE-based prioritization framework for 3 microservice backlogs, balancing internal partner, third-party developer, and Fortune 500 customer requirements — driving clarity across stakeholders in ambiguous, fast-moving environment.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query performance optimization for beta customer, achieving up to 10x performance improvements through benchmark testing and data-driven iteration.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enterprise rollout of Splunk Logging-as-a-Service (1.7 TB daily volume, 200+ internal customers) and ITSI Application Monitoring-as-a-Service; built caching capability using Redis and XC10 to address scalability and fault tolerance at scale.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enhanced estimation model using Monte Carlo simulation to optimize DMAIC phase distribution across a $494M portfolio in Global Technology &amp; Operations — demonstrating quantitative finance and fintech domain fluency.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customer escalations for enterprise BI software; led cross-functional root cause analysis improving case resolution time by 20% across the Support Organization.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evaluation platform with 5 core eval types (factuality, reasoning, instruction-following, safety, code generation), adversarial safety testing with refusal detection, and automated safety gates — directly addressing trust, transparency, and usability standards for AI-powered consumer features.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Statistical rigor: bootstrap confidence intervals, Welch's t-test, Cohen's d effect size, saturation detection; CI/CD integration with regression detection. Stack: FastAPI, TimescaleDB, Redis, Next.js, Ollama.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RL post-training workbench covering the full RLHF/DPO pipeline: Reward Lab for designing and A/B testing reward functions across 4 datasets, Playground for real TRL-powered GRPO/DPO training with live metric streaming, and Arena for head-to-head framework benchmarking (TRL, VeRL, OpenRLHF, NeMo RL).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12 RL algorithms (PPO, GRPO, DAPO, DPO, SimPO, KTO, and more) with standardized throughput/memory/convergence benchmarking — hands-on AI/ML depth directly informing product decisions for AI-powered consumer experiences.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NeurIPS 2014 accepted paper on artificial neural networks for protein secondary structure prediction. Original 2004 system hand-coded in C++ with custom BPTT; 2026 rewrite spans 413 to 8B parameters across 5 neural architectures (feedforward, GRU, Transformer, ESM-2, multi-task) with MLflow, Optuna HPO, and FastAPI serving.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Deep Learning Education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60 interactive demos across 20 chapters covering Goodfellow's Deep Learning textbook — transformers, GANs, diffusion models, autoencoders, optimization.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Courses: Java Programming (CIS 35A/B, 36A/B), Introduction to PL/SQL, Introduction to Data Analytics, Fundamentals of Large Scale Cloud Computing (AWS, GCP), Ethical Hacking, Digital Forensics, Managing Cloud Projects.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80" w:bottom="400" w:left="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