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60" w:after="60"/>
      </w:pPr>
      <w:r>
        <w:rPr>
          <w:rFonts w:ascii="Arial" w:hAnsi="Arial"/>
          <w:b w:val="0"/>
          <w:i w:val="0"/>
          <w:color w:val="555555"/>
          <w:sz w:val="16"/>
        </w:rPr>
        <w:t>Staff PM with 12+ years owning developer-facing platforms and AI-native tooling — from shipping SDK Starter Kits and self-service DevPortals at Intuit (675M+ engagements, 50K TPS) to building production multi-agent orchestration frameworks and MCP-powered AI coding assistants as a founder. Deep experience defining developer experience roadmaps, translating developer feedback into prioritized platform investments, and partnering with engineering on technical architecture decisions. Formed strong opinions on what makes IDEs and agentic workflows excellent by building them. NeurIPS published researcher; UC Berkeley BS Computational Engineering.</w:t>
      </w:r>
    </w:p>
    <w:p>
      <w:pPr>
        <w:spacing w:before="100" w:after="20"/>
        <w:pBdr>
          <w:bottom w:val="single" w:sz="8" w:space="4" w:color="2B547E"/>
        </w:pBdr>
      </w:pPr>
      <w:r>
        <w:rPr>
          <w:rFonts w:ascii="Arial" w:hAnsi="Arial"/>
          <w:b/>
          <w:i w:val="0"/>
          <w:color w:val="2B547E"/>
          <w:sz w:val="19"/>
        </w:rPr>
        <w:t>PROFESSIONAL EXPERIENCE</w:t>
      </w:r>
    </w:p>
    <w:p>
      <w:pPr>
        <w:spacing w:before="55"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0"/>
      </w:pPr>
      <w:r>
        <w:rPr>
          <w:rFonts w:ascii="Arial" w:hAnsi="Arial"/>
          <w:b w:val="0"/>
          <w:i/>
          <w:color w:val="555555"/>
          <w:sz w:val="17"/>
        </w:rPr>
        <w:t>Staff Product Manager — Developer Experience &amp; Platform Infrastructure</w:t>
      </w:r>
      <w:r>
        <w:rPr>
          <w:rFonts w:ascii="Arial" w:hAnsi="Arial"/>
          <w:b w:val="0"/>
          <w:i w:val="0"/>
          <w:color w:val="888888"/>
          <w:sz w:val="15"/>
        </w:rPr>
        <w:t xml:space="preserve">    06/21 – 09/24</w:t>
      </w:r>
    </w:p>
    <w:p>
      <w:pPr>
        <w:spacing w:before="4" w:after="4"/>
        <w:ind w:left="360" w:hanging="200"/>
      </w:pPr>
      <w:r>
        <w:rPr>
          <w:rFonts w:ascii="Arial" w:hAnsi="Arial"/>
          <w:b w:val="0"/>
          <w:i w:val="0"/>
          <w:color w:val="1A1A1A"/>
          <w:sz w:val="16"/>
        </w:rPr>
        <w:t>•</w:t>
        <w:tab/>
      </w:r>
      <w:r>
        <w:rPr>
          <w:rFonts w:ascii="Arial" w:hAnsi="Arial"/>
          <w:b w:val="0"/>
          <w:i w:val="0"/>
          <w:color w:val="1A1A1A"/>
          <w:sz w:val="16"/>
        </w:rPr>
        <w:t>Owned developer experience roadmap for SDK Starter Kits (Java/Python), ICE Self-Service DevPortal, and GitOps tooling — scaling platform to 675M+ engagements in FY23 across QuickBooks, TurboTax, Mint, Mailchimp, and Credit Karma with 275% YoY growth.</w:t>
      </w:r>
    </w:p>
    <w:p>
      <w:pPr>
        <w:spacing w:before="4" w:after="4"/>
        <w:ind w:left="360" w:hanging="200"/>
      </w:pPr>
      <w:r>
        <w:rPr>
          <w:rFonts w:ascii="Arial" w:hAnsi="Arial"/>
          <w:b w:val="0"/>
          <w:i w:val="0"/>
          <w:color w:val="1A1A1A"/>
          <w:sz w:val="16"/>
        </w:rPr>
        <w:t>•</w:t>
        <w:tab/>
      </w:r>
      <w:r>
        <w:rPr>
          <w:rFonts w:ascii="Arial" w:hAnsi="Arial"/>
          <w:b w:val="0"/>
          <w:i w:val="0"/>
          <w:color w:val="1A1A1A"/>
          <w:sz w:val="16"/>
        </w:rPr>
        <w:t>Extended Java and Python SDK Starter Kits with scaffolding templates, build configurations (Gradle/Maven), testing frameworks, and CI/CD integration — empowering developers to go from zero to production-ready microservice in minutes.</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ICE Self-Service platform (DevPortal, GitOps config, ICE Playground), reducing developer onboarding from 2–3 weeks to minutes in pre-prod and &lt;24 hours for production, while mitigating $1M+ in projected opex growth.</w:t>
      </w:r>
    </w:p>
    <w:p>
      <w:pPr>
        <w:spacing w:before="4" w:after="4"/>
        <w:ind w:left="360" w:hanging="200"/>
      </w:pPr>
      <w:r>
        <w:rPr>
          <w:rFonts w:ascii="Arial" w:hAnsi="Arial"/>
          <w:b w:val="0"/>
          <w:i w:val="0"/>
          <w:color w:val="1A1A1A"/>
          <w:sz w:val="16"/>
        </w:rPr>
        <w:t>•</w:t>
        <w:tab/>
      </w:r>
      <w:r>
        <w:rPr>
          <w:rFonts w:ascii="Arial" w:hAnsi="Arial"/>
          <w:b w:val="0"/>
          <w:i w:val="0"/>
          <w:color w:val="1A1A1A"/>
          <w:sz w:val="16"/>
        </w:rPr>
        <w:t>Scaled platform throughput from 6K to 50K TPS via rSocket migration supporting ~1.5M concurrent connections with sub-25ms TP99; worked closely with telemetry and usage data (SQL, BigQuery) to prioritize developer pain points across ~20 mobile apps and 30+ product SKUs.</w:t>
      </w:r>
    </w:p>
    <w:p>
      <w:pPr>
        <w:spacing w:before="4" w:after="4"/>
        <w:ind w:left="360" w:hanging="200"/>
      </w:pPr>
      <w:r>
        <w:rPr>
          <w:rFonts w:ascii="Arial" w:hAnsi="Arial"/>
          <w:b w:val="0"/>
          <w:i w:val="0"/>
          <w:color w:val="1A1A1A"/>
          <w:sz w:val="16"/>
        </w:rPr>
        <w:t>•</w:t>
        <w:tab/>
      </w:r>
      <w:r>
        <w:rPr>
          <w:rFonts w:ascii="Arial" w:hAnsi="Arial"/>
          <w:b w:val="0"/>
          <w:i w:val="0"/>
          <w:color w:val="1A1A1A"/>
          <w:sz w:val="16"/>
        </w:rPr>
        <w:t>Conducted enterprise-wide Service Language Assessment across 9 languages (Java, Python, Kotlin, Go, TypeScript, Scala, PHP, C++, Groovy), analyzing developer feedback and usage data to inform strategic investment decisions presented to CTO.</w:t>
      </w:r>
    </w:p>
    <w:p>
      <w:pPr>
        <w:spacing w:before="4" w:after="4"/>
        <w:ind w:left="360" w:hanging="200"/>
      </w:pPr>
      <w:r>
        <w:rPr>
          <w:rFonts w:ascii="Arial" w:hAnsi="Arial"/>
          <w:b w:val="0"/>
          <w:i w:val="0"/>
          <w:color w:val="1A1A1A"/>
          <w:sz w:val="16"/>
        </w:rPr>
        <w:t>•</w:t>
        <w:tab/>
      </w:r>
      <w:r>
        <w:rPr>
          <w:rFonts w:ascii="Arial" w:hAnsi="Arial"/>
          <w:b w:val="0"/>
          <w:i w:val="0"/>
          <w:color w:val="1A1A1A"/>
          <w:sz w:val="16"/>
        </w:rPr>
        <w:t>Initiated MSaaS Drift Detection program: authored Java JAR library to scan Git repos for configuration drift, partnered with Design on DevPortal UI, and built remediation roadmap using OpenRewrite. DeveloperWeek 2022 speaker.</w:t>
      </w:r>
    </w:p>
    <w:p>
      <w:pPr>
        <w:spacing w:before="55"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0"/>
      </w:pPr>
      <w:r>
        <w:rPr>
          <w:rFonts w:ascii="Arial" w:hAnsi="Arial"/>
          <w:b w:val="0"/>
          <w:i/>
          <w:color w:val="555555"/>
          <w:sz w:val="17"/>
        </w:rPr>
        <w:t>Founder &amp; CEO — AI Developer Tooling (macOS, Linux, iOS &amp; 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Built OpenClaw multi-agent orchestration framework with gateway protocol, subagent delegation, profile management, and session switching — enabling coordinated agentic workflows across multiple industry verticals; integrated Claude MCP SDK to expose screen capture tools to AI coding assistants.</w:t>
      </w:r>
    </w:p>
    <w:p>
      <w:pPr>
        <w:spacing w:before="4" w:after="4"/>
        <w:ind w:left="360" w:hanging="200"/>
      </w:pPr>
      <w:r>
        <w:rPr>
          <w:rFonts w:ascii="Arial" w:hAnsi="Arial"/>
          <w:b w:val="0"/>
          <w:i w:val="0"/>
          <w:color w:val="1A1A1A"/>
          <w:sz w:val="16"/>
        </w:rPr>
        <w:t>•</w:t>
        <w:tab/>
      </w:r>
      <w:r>
        <w:rPr>
          <w:rFonts w:ascii="Arial" w:hAnsi="Arial"/>
          <w:b w:val="0"/>
          <w:i w:val="0"/>
          <w:color w:val="1A1A1A"/>
          <w:sz w:val="16"/>
        </w:rPr>
        <w:t>Shipped production Electron + React + TypeScript desktop application (100+ components, Redux Toolkit) with embedded terminal (xterm.js/node-pty, 20+ slash commands) and native macOS ScreenCaptureKit integration via Swift — delivering a context-aware AI development environment.</w:t>
      </w:r>
    </w:p>
    <w:p>
      <w:pPr>
        <w:spacing w:before="4" w:after="4"/>
        <w:ind w:left="360" w:hanging="200"/>
      </w:pPr>
      <w:r>
        <w:rPr>
          <w:rFonts w:ascii="Arial" w:hAnsi="Arial"/>
          <w:b w:val="0"/>
          <w:i w:val="0"/>
          <w:color w:val="1A1A1A"/>
          <w:sz w:val="16"/>
        </w:rPr>
        <w:t>•</w:t>
        <w:tab/>
      </w:r>
      <w:r>
        <w:rPr>
          <w:rFonts w:ascii="Arial" w:hAnsi="Arial"/>
          <w:b w:val="0"/>
          <w:i w:val="0"/>
          <w:color w:val="1A1A1A"/>
          <w:sz w:val="16"/>
        </w:rPr>
        <w:t>Built end-to-end auth and payments pipeline (Kinde OAuth 2.0, Stripe tiered subscriptions, Electron SafeStorage); integrated ElevenLabs TTS/STT with 6 auto-classified voice profiles and SHA-256 audio caching.</w:t>
      </w:r>
    </w:p>
    <w:p>
      <w:pPr>
        <w:spacing w:before="4" w:after="4"/>
        <w:ind w:left="360" w:hanging="200"/>
      </w:pPr>
      <w:r>
        <w:rPr>
          <w:rFonts w:ascii="Arial" w:hAnsi="Arial"/>
          <w:b w:val="0"/>
          <w:i w:val="0"/>
          <w:color w:val="1A1A1A"/>
          <w:sz w:val="16"/>
        </w:rPr>
        <w:t>•</w:t>
        <w:tab/>
      </w:r>
      <w:r>
        <w:rPr>
          <w:rFonts w:ascii="Arial" w:hAnsi="Arial"/>
          <w:b w:val="0"/>
          <w:i w:val="0"/>
          <w:color w:val="1A1A1A"/>
          <w:sz w:val="16"/>
        </w:rPr>
        <w:t>Led 0-to-1 product strategy, AI-native development, and go-to-market execution including customer discovery interviews and iterative product refinement.</w:t>
      </w:r>
    </w:p>
    <w:p>
      <w:pPr>
        <w:spacing w:before="55"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0"/>
      </w:pPr>
      <w:r>
        <w:rPr>
          <w:rFonts w:ascii="Arial" w:hAnsi="Arial"/>
          <w:b w:val="0"/>
          <w:i/>
          <w:color w:val="555555"/>
          <w:sz w:val="17"/>
        </w:rPr>
        <w:t>Founder &amp; CEO — AI Financial Platform (iOS/Android/Web)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RAG retrieval pipeline with ChromaDB vector store, multi-provider LLM orchestration (Claude, GPT-4, Gemini) with fallback routing, structured output validation, and token budget optimization — informing context management patterns applicable to AI coding assistant design.</w:t>
      </w:r>
    </w:p>
    <w:p>
      <w:pPr>
        <w:spacing w:before="4" w:after="4"/>
        <w:ind w:left="360" w:hanging="200"/>
      </w:pPr>
      <w:r>
        <w:rPr>
          <w:rFonts w:ascii="Arial" w:hAnsi="Arial"/>
          <w:b w:val="0"/>
          <w:i w:val="0"/>
          <w:color w:val="1A1A1A"/>
          <w:sz w:val="16"/>
        </w:rPr>
        <w:t>•</w:t>
        <w:tab/>
      </w:r>
      <w:r>
        <w:rPr>
          <w:rFonts w:ascii="Arial" w:hAnsi="Arial"/>
          <w:b w:val="0"/>
          <w:i w:val="0"/>
          <w:color w:val="1A1A1A"/>
          <w:sz w:val="16"/>
        </w:rPr>
        <w:t>Built domain-specific conversational AI agents with context-aware, guided interaction flows; executed go-to-market through App Store launch.</w:t>
      </w:r>
    </w:p>
    <w:p>
      <w:pPr>
        <w:spacing w:before="55"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0"/>
      </w:pPr>
      <w:r>
        <w:rPr>
          <w:rFonts w:ascii="Arial" w:hAnsi="Arial"/>
          <w:b w:val="0"/>
          <w:i/>
          <w:color w:val="555555"/>
          <w:sz w:val="17"/>
        </w:rPr>
        <w:t>Senior Product Manager — Search Platform &amp; Developer Tooling</w:t>
      </w:r>
      <w:r>
        <w:rPr>
          <w:rFonts w:ascii="Arial" w:hAnsi="Arial"/>
          <w:b w:val="0"/>
          <w:i w:val="0"/>
          <w:color w:val="888888"/>
          <w:sz w:val="15"/>
        </w:rPr>
        <w:t xml:space="preserve">    01/19 – 01/21</w:t>
      </w:r>
    </w:p>
    <w:p>
      <w:pPr>
        <w:spacing w:before="4" w:after="4"/>
        <w:ind w:left="360" w:hanging="200"/>
      </w:pPr>
      <w:r>
        <w:rPr>
          <w:rFonts w:ascii="Arial" w:hAnsi="Arial"/>
          <w:b w:val="0"/>
          <w:i w:val="0"/>
          <w:color w:val="1A1A1A"/>
          <w:sz w:val="16"/>
        </w:rPr>
        <w:t>•</w:t>
        <w:tab/>
      </w:r>
      <w:r>
        <w:rPr>
          <w:rFonts w:ascii="Arial" w:hAnsi="Arial"/>
          <w:b w:val="0"/>
          <w:i w:val="0"/>
          <w:color w:val="1A1A1A"/>
          <w:sz w:val="16"/>
        </w:rPr>
        <w:t>Owned Splunk Processing Language (SPL/SPL2) and Search Service (Go microservices) — defined roadmaps, PRDs, and acceptance criteria for developer-facing query language and platform capabilities used by data practitioners at Fortune 500 companies.</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Scheduler Service end-to-end in ~4 months, enabling scheduled search for first-party applications; demoed at Splunk .conf19. Achieved up to 10x query performance improvements for enterprise beta customer through mirrored benchmark topology.</w:t>
      </w:r>
    </w:p>
    <w:p>
      <w:pPr>
        <w:spacing w:before="4" w:after="4"/>
        <w:ind w:left="360" w:hanging="200"/>
      </w:pPr>
      <w:r>
        <w:rPr>
          <w:rFonts w:ascii="Arial" w:hAnsi="Arial"/>
          <w:b w:val="0"/>
          <w:i w:val="0"/>
          <w:color w:val="1A1A1A"/>
          <w:sz w:val="16"/>
        </w:rPr>
        <w:t>•</w:t>
        <w:tab/>
      </w:r>
      <w:r>
        <w:rPr>
          <w:rFonts w:ascii="Arial" w:hAnsi="Arial"/>
          <w:b w:val="0"/>
          <w:i w:val="0"/>
          <w:color w:val="1A1A1A"/>
          <w:sz w:val="16"/>
        </w:rPr>
        <w:t>Designed repeatable RICE-based prioritization framework for 3 microservice backlogs, balancing internal partner, third-party developer, and Fortune 500 customer requirements. Splunk .conf18 Speaker.</w:t>
      </w:r>
    </w:p>
    <w:p>
      <w:pPr>
        <w:spacing w:before="55"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0"/>
      </w:pPr>
      <w:r>
        <w:rPr>
          <w:rFonts w:ascii="Arial" w:hAnsi="Arial"/>
          <w:b w:val="0"/>
          <w:i/>
          <w:color w:val="555555"/>
          <w:sz w:val="17"/>
        </w:rPr>
        <w:t>SOA Technical Product Manager</w:t>
      </w:r>
      <w:r>
        <w:rPr>
          <w:rFonts w:ascii="Arial" w:hAnsi="Arial"/>
          <w:b w:val="0"/>
          <w:i w:val="0"/>
          <w:color w:val="888888"/>
          <w:sz w:val="15"/>
        </w:rPr>
        <w:t xml:space="preserve">    08/12 – 12/18</w:t>
      </w:r>
    </w:p>
    <w:p>
      <w:pPr>
        <w:spacing w:before="4" w:after="4"/>
        <w:ind w:left="360" w:hanging="200"/>
      </w:pPr>
      <w:r>
        <w:rPr>
          <w:rFonts w:ascii="Arial" w:hAnsi="Arial"/>
          <w:b w:val="0"/>
          <w:i w:val="0"/>
          <w:color w:val="1A1A1A"/>
          <w:sz w:val="16"/>
        </w:rPr>
        <w:t>•</w:t>
        <w:tab/>
      </w:r>
      <w:r>
        <w:rPr>
          <w:rFonts w:ascii="Arial" w:hAnsi="Arial"/>
          <w:b w:val="0"/>
          <w:i w:val="0"/>
          <w:color w:val="1A1A1A"/>
          <w:sz w:val="16"/>
        </w:rPr>
        <w:t>Led enterprise rollout of Splunk Logging-as-a-Service (1.7 TB daily volume, 200+ internal customers) and ITSI Application Monitoring-as-a-Service; built Redis caching capability across enterprise for scalability and fault tolerance.</w:t>
      </w:r>
    </w:p>
    <w:p>
      <w:pPr>
        <w:spacing w:before="4" w:after="4"/>
        <w:ind w:left="360" w:hanging="200"/>
      </w:pPr>
      <w:r>
        <w:rPr>
          <w:rFonts w:ascii="Arial" w:hAnsi="Arial"/>
          <w:b w:val="0"/>
          <w:i w:val="0"/>
          <w:color w:val="1A1A1A"/>
          <w:sz w:val="16"/>
        </w:rPr>
        <w:t>•</w:t>
        <w:tab/>
      </w:r>
      <w:r>
        <w:rPr>
          <w:rFonts w:ascii="Arial" w:hAnsi="Arial"/>
          <w:b w:val="0"/>
          <w:i w:val="0"/>
          <w:color w:val="1A1A1A"/>
          <w:sz w:val="16"/>
        </w:rPr>
        <w:t>Led demand forecasting and capacity planning for SOA product suite across multiple datacenters.</w:t>
      </w:r>
    </w:p>
    <w:p>
      <w:pPr>
        <w:spacing w:before="55"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0"/>
      </w:pPr>
      <w:r>
        <w:rPr>
          <w:rFonts w:ascii="Arial" w:hAnsi="Arial"/>
          <w:b w:val="0"/>
          <w:i/>
          <w:color w:val="555555"/>
          <w:sz w:val="17"/>
        </w:rPr>
        <w:t>Software Engineer — Business Intelligence Products</w:t>
      </w:r>
      <w:r>
        <w:rPr>
          <w:rFonts w:ascii="Arial" w:hAnsi="Arial"/>
          <w:b w:val="0"/>
          <w:i w:val="0"/>
          <w:color w:val="888888"/>
          <w:sz w:val="15"/>
        </w:rPr>
        <w:t xml:space="preserve">    07/05 – 03/10</w:t>
      </w:r>
    </w:p>
    <w:p>
      <w:pPr>
        <w:spacing w:before="4" w:after="4"/>
        <w:ind w:left="360" w:hanging="200"/>
      </w:pPr>
      <w:r>
        <w:rPr>
          <w:rFonts w:ascii="Arial" w:hAnsi="Arial"/>
          <w:b w:val="0"/>
          <w:i w:val="0"/>
          <w:color w:val="1A1A1A"/>
          <w:sz w:val="16"/>
        </w:rPr>
        <w:t>•</w:t>
        <w:tab/>
      </w:r>
      <w:r>
        <w:rPr>
          <w:rFonts w:ascii="Arial" w:hAnsi="Arial"/>
          <w:b w:val="0"/>
          <w:i w:val="0"/>
          <w:color w:val="1A1A1A"/>
          <w:sz w:val="16"/>
        </w:rPr>
        <w:t>Resolved multiple $1–5M high-severity customer escalations for enterprise BI software; led cross-functional root cause analysis improving case resolution time by 20% across the Support Organization.</w:t>
      </w:r>
    </w:p>
    <w:p>
      <w:pPr>
        <w:spacing w:before="100" w:after="20"/>
        <w:pBdr>
          <w:bottom w:val="single" w:sz="8" w:space="4" w:color="2B547E"/>
        </w:pBdr>
      </w:pPr>
      <w:r>
        <w:rPr>
          <w:rFonts w:ascii="Arial" w:hAnsi="Arial"/>
          <w:b/>
          <w:i w:val="0"/>
          <w:color w:val="2B547E"/>
          <w:sz w:val="19"/>
        </w:rPr>
        <w:t>AI/ML RESEARCH &amp; PROJECTS</w:t>
      </w:r>
    </w:p>
    <w:p>
      <w:pPr>
        <w:spacing w:before="45" w:after="5"/>
      </w:pPr>
      <w:r>
        <w:rPr>
          <w:rFonts w:ascii="Arial" w:hAnsi="Arial"/>
          <w:b/>
          <w:i w:val="0"/>
          <w:color w:val="1A1A1A"/>
          <w:sz w:val="16"/>
        </w:rPr>
        <w:t>aeval — AI Model Evaluation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local-first developer-facing evaluation platform with 5 core eval types (factuality, reasoning, instruction-following, safety, code generation), adversarial safety testing with refusal detection, and CI/CD integration with regression detection and automated safety gates.</w:t>
      </w:r>
    </w:p>
    <w:p>
      <w:pPr>
        <w:spacing w:before="4" w:after="4"/>
        <w:ind w:left="360" w:hanging="200"/>
      </w:pPr>
      <w:r>
        <w:rPr>
          <w:rFonts w:ascii="Arial" w:hAnsi="Arial"/>
          <w:b w:val="0"/>
          <w:i w:val="0"/>
          <w:color w:val="1A1A1A"/>
          <w:sz w:val="16"/>
        </w:rPr>
        <w:t>•</w:t>
        <w:tab/>
      </w:r>
      <w:r>
        <w:rPr>
          <w:rFonts w:ascii="Arial" w:hAnsi="Arial"/>
          <w:b w:val="0"/>
          <w:i w:val="0"/>
          <w:color w:val="1A1A1A"/>
          <w:sz w:val="16"/>
        </w:rPr>
        <w:t>Stack: FastAPI orchestrator, TimescaleDB, Redis job queue, Next.js dashboard, Ollama — full-stack developer tooling with statistical rigor (bootstrap CIs, Welch's t-test, Cohen's d effect size).</w:t>
      </w:r>
    </w:p>
    <w:p>
      <w:pPr>
        <w:spacing w:before="45" w:after="5"/>
      </w:pPr>
      <w:r>
        <w:rPr>
          <w:rFonts w:ascii="Arial" w:hAnsi="Arial"/>
          <w:b/>
          <w:i w:val="0"/>
          <w:color w:val="1A1A1A"/>
          <w:sz w:val="16"/>
        </w:rPr>
        <w:t>RL Workbench — Post-Training RL Platform</w:t>
      </w:r>
      <w:r>
        <w:rPr>
          <w:rFonts w:ascii="Arial" w:hAnsi="Arial"/>
          <w:b w:val="0"/>
          <w:i w:val="0"/>
          <w:color w:val="888888"/>
          <w:sz w:val="15"/>
        </w:rPr>
        <w:t xml:space="preserve">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3-phase RL post-training workbench: Reward Lab for A/B testing reward functions, Playground for real TRL-powered GRPO/DPO training with live SSE metric streaming, and Arena for head-to-head framework benchmarking (TRL, VeRL, OpenRLHF, NeMo RL) with GPU Docker passthrough.</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12 RL algorithms (PPO, GRPO, DAPO, DPO, SimPO, IPO, KTO, ORPO, SPPO, REINFORCE, REINFORCE++, RLOO) with standardized throughput/memory/convergence benchmarking — informing AI coding assistant model selection and evaluation methodology.</w:t>
      </w:r>
    </w:p>
    <w:p>
      <w:pPr>
        <w:spacing w:before="45" w:after="5"/>
      </w:pPr>
      <w:r>
        <w:rPr>
          <w:rFonts w:ascii="Arial" w:hAnsi="Arial"/>
          <w:b/>
          <w:i w:val="0"/>
          <w:color w:val="1A1A1A"/>
          <w:sz w:val="16"/>
        </w:rPr>
        <w:t>BRAIN — Protein Structure Prediction ML Platform</w:t>
      </w:r>
      <w:r>
        <w:rPr>
          <w:rFonts w:ascii="Arial" w:hAnsi="Arial"/>
          <w:b w:val="0"/>
          <w:i w:val="0"/>
          <w:color w:val="888888"/>
          <w:sz w:val="15"/>
        </w:rPr>
        <w:t xml:space="preserve">  (UC Berkeley 2004; rewritten 2026)</w:t>
      </w:r>
    </w:p>
    <w:p>
      <w:pPr>
        <w:spacing w:before="4" w:after="4"/>
        <w:ind w:left="360" w:hanging="200"/>
      </w:pPr>
      <w:r>
        <w:rPr>
          <w:rFonts w:ascii="Arial" w:hAnsi="Arial"/>
          <w:b w:val="0"/>
          <w:i w:val="0"/>
          <w:color w:val="1A1A1A"/>
          <w:sz w:val="16"/>
        </w:rPr>
        <w:t>•</w:t>
        <w:tab/>
      </w:r>
      <w:r>
        <w:rPr>
          <w:rFonts w:ascii="Arial" w:hAnsi="Arial"/>
          <w:b w:val="0"/>
          <w:i w:val="0"/>
          <w:color w:val="1A1A1A"/>
          <w:sz w:val="16"/>
        </w:rPr>
        <w:t>NeurIPS 2014 accepted paper; original 2004 system hand-coded in C++ with custom BPTT. 2026 rewrite: PyTorch production platform with 5 architectures (feedforward, GRU, Transformer, ESM-2, multi-task), MLflow, Optuna HPO, FastAPI serving — 413 to 8B parameters (19M-fold scale).</w:t>
      </w:r>
    </w:p>
    <w:p>
      <w:pPr>
        <w:spacing w:before="45" w:after="5"/>
      </w:pPr>
      <w:r>
        <w:rPr>
          <w:rFonts w:ascii="Arial" w:hAnsi="Arial"/>
          <w:b/>
          <w:i w:val="0"/>
          <w:color w:val="1A1A1A"/>
          <w:sz w:val="16"/>
        </w:rPr>
        <w:t>Deep Learning Education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Developed 60 interactive demos across 20 chapters covering Goodfellow's Deep Learning textbook — transformers, GANs, diffusion models, autoencoders, optimization.</w:t>
      </w:r>
    </w:p>
    <w:p>
      <w:pPr>
        <w:spacing w:before="100" w:after="20"/>
        <w:pBdr>
          <w:bottom w:val="single" w:sz="8" w:space="4" w:color="2B547E"/>
        </w:pBdr>
      </w:pPr>
      <w:r>
        <w:rPr>
          <w:rFonts w:ascii="Arial" w:hAnsi="Arial"/>
          <w:b/>
          <w:i w:val="0"/>
          <w:color w:val="2B547E"/>
          <w:sz w:val="19"/>
        </w:rPr>
        <w:t>EDUCATION</w:t>
      </w:r>
    </w:p>
    <w:p>
      <w:pPr>
        <w:spacing w:before="28"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28"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28"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00" w:after="20"/>
        <w:pBdr>
          <w:bottom w:val="single" w:sz="8" w:space="4" w:color="2B547E"/>
        </w:pBdr>
      </w:pPr>
      <w:r>
        <w:rPr>
          <w:rFonts w:ascii="Arial" w:hAnsi="Arial"/>
          <w:b/>
          <w:i w:val="0"/>
          <w:color w:val="2B547E"/>
          <w:sz w:val="19"/>
        </w:rPr>
        <w:t>TEACHING EXPERIENCE</w:t>
      </w:r>
    </w:p>
    <w:p>
      <w:pPr>
        <w:spacing w:before="55"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0"/>
      </w:pPr>
      <w:r>
        <w:rPr>
          <w:rFonts w:ascii="Arial" w:hAnsi="Arial"/>
          <w:b w:val="0"/>
          <w:i/>
          <w:color w:val="555555"/>
          <w:sz w:val="17"/>
        </w:rPr>
        <w:t>Adjunct Faculty — Computer Information Systems Department</w:t>
      </w:r>
      <w:r>
        <w:rPr>
          <w:rFonts w:ascii="Arial" w:hAnsi="Arial"/>
          <w:b w:val="0"/>
          <w:i w:val="0"/>
          <w:color w:val="888888"/>
          <w:sz w:val="15"/>
        </w:rPr>
        <w:t xml:space="preserve">    04/18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CIS 35A/B, 36A/B — Java Programming; CIS 64C/64G — PL/SQL; CIS 44F — Data Analytics; CIS 64E — Large Scale Cloud Computing (AWS, GCP); CIS 102 — Ethical Hacking; CIS 104 — Digital Forensics; CIS 95F — Managing Cloud Projects.</w:t>
      </w:r>
    </w:p>
    <w:p>
      <w:pPr>
        <w:spacing w:before="100" w:after="20"/>
        <w:pBdr>
          <w:bottom w:val="single" w:sz="8" w:space="4" w:color="2B547E"/>
        </w:pBdr>
      </w:pPr>
      <w:r>
        <w:rPr>
          <w:rFonts w:ascii="Arial" w:hAnsi="Arial"/>
          <w:b/>
          <w:i w:val="0"/>
          <w:color w:val="2B547E"/>
          <w:sz w:val="19"/>
        </w:rPr>
        <w:t>ADDITIONAL INFORMATION</w:t>
      </w:r>
    </w:p>
    <w:p>
      <w:pPr>
        <w:spacing w:before="4" w:after="4"/>
        <w:ind w:left="360" w:hanging="200"/>
      </w:pPr>
      <w:r>
        <w:rPr>
          <w:rFonts w:ascii="Arial" w:hAnsi="Arial"/>
          <w:b w:val="0"/>
          <w:i w:val="0"/>
          <w:color w:val="1A1A1A"/>
          <w:sz w:val="16"/>
        </w:rPr>
        <w:t>•</w:t>
        <w:tab/>
      </w:r>
      <w:r>
        <w:rPr>
          <w:rFonts w:ascii="Arial" w:hAnsi="Arial"/>
          <w:b w:val="0"/>
          <w:i w:val="0"/>
          <w:color w:val="1A1A1A"/>
          <w:sz w:val="16"/>
        </w:rPr>
        <w:t>O'Reilly &amp; OER Publications: Data Analytics and Managing Cloud Projects (forthcoming Summer 2026)</w:t>
      </w:r>
    </w:p>
    <w:p>
      <w:pPr>
        <w:spacing w:before="4" w:after="4"/>
        <w:ind w:left="360" w:hanging="200"/>
      </w:pPr>
      <w:r>
        <w:rPr>
          <w:rFonts w:ascii="Arial" w:hAnsi="Arial"/>
          <w:b w:val="0"/>
          <w:i w:val="0"/>
          <w:color w:val="1A1A1A"/>
          <w:sz w:val="16"/>
        </w:rPr>
        <w:t>•</w:t>
        <w:tab/>
      </w:r>
      <w:r>
        <w:rPr>
          <w:rFonts w:ascii="Arial" w:hAnsi="Arial"/>
          <w:b w:val="0"/>
          <w:i w:val="0"/>
          <w:color w:val="1A1A1A"/>
          <w:sz w:val="16"/>
        </w:rPr>
        <w:t>FAA Commercial Drone License; FAA Private Pilot License (intended CFI)</w:t>
      </w:r>
    </w:p>
    <w:p>
      <w:pPr>
        <w:spacing w:before="4" w:after="4"/>
        <w:ind w:left="360" w:hanging="200"/>
      </w:pPr>
      <w:r>
        <w:rPr>
          <w:rFonts w:ascii="Arial" w:hAnsi="Arial"/>
          <w:b w:val="0"/>
          <w:i w:val="0"/>
          <w:color w:val="1A1A1A"/>
          <w:sz w:val="16"/>
        </w:rPr>
        <w:t>•</w:t>
        <w:tab/>
      </w:r>
      <w:r>
        <w:rPr>
          <w:rFonts w:ascii="Arial" w:hAnsi="Arial"/>
          <w:b w:val="0"/>
          <w:i w:val="0"/>
          <w:color w:val="1A1A1A"/>
          <w:sz w:val="16"/>
        </w:rPr>
        <w:t>First Tee Assistant Golf Coach — San Francisco Chapter (2012–Present)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Interests: Classical &amp; Jazz Saxophone (Alto/Tenor/Baritone), Triathlon, Golf, Intramural Basketball &amp; Soccer</w:t>
      </w:r>
    </w:p>
    <w:sectPr w:rsidR="00FC693F" w:rsidRPr="0006063C" w:rsidSect="00034616">
      <w:pgSz w:w="12240" w:h="15840"/>
      <w:pgMar w:top="400" w:right="560" w:bottom="400" w:left="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