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Arial" w:hAnsi="Arial"/>
          <w:b/>
          <w:i w:val="0"/>
          <w:color w:val="1A1A1A"/>
          <w:sz w:val="26"/>
        </w:rPr>
        <w:t>O. FELIX AMORUWA</w:t>
      </w:r>
    </w:p>
    <w:p>
      <w:pPr>
        <w:spacing w:before="0" w:after="10"/>
        <w:jc w:val="center"/>
      </w:pPr>
      <w:r>
        <w:rPr>
          <w:rFonts w:ascii="Arial" w:hAnsi="Arial"/>
          <w:b w:val="0"/>
          <w:i w:val="0"/>
          <w:color w:val="555555"/>
          <w:sz w:val="16"/>
        </w:rPr>
        <w:t xml:space="preserve">famoruwa@berkeley.edu  |  909-731-9011  |  </w:t>
      </w:r>
      <w:hyperlink r:id="rId9">
        <w:r>
          <w:rPr>
            <w:rFonts w:ascii="Arial" w:hAnsi="Arial"/>
            <w:sz w:val="16"/>
            <w:color w:val="2B547E"/>
            <w:u w:val="single"/>
          </w:rPr>
          <w:t xml:space="preserve">felixamoruwa.info</w:t>
        </w:r>
      </w:hyperlink>
    </w:p>
    <w:p>
      <w:pPr>
        <w:spacing w:before="60" w:after="60"/>
      </w:pPr>
      <w:r>
        <w:rPr>
          <w:rFonts w:ascii="Arial" w:hAnsi="Arial"/>
          <w:b w:val="0"/>
          <w:i w:val="0"/>
          <w:color w:val="555555"/>
          <w:sz w:val="16"/>
        </w:rPr>
        <w:t>Technical Product Leader with 12+ years building and scaling complex platform products across healthcare, fintech, and enterprise SaaS — including 6+ years at Kaiser Permanente and Intuit owning API integrations, workflow systems, and internal tooling in regulated, operationally demanding environments. Scaled a member-facing platform to 675M+ engagements and cut developer onboarding from weeks to hours by modernizing legacy infrastructure. Proven cross-functional leader who translates technical complexity into clear strategy for non-technical stakeholders, with hands-on experience deploying AI-augmented workflows to reduce operational friction and improve end-to-end user journeys. Carnegie Mellon MS &amp; MBA; UC Berkeley BS Computational Engineering.</w:t>
      </w:r>
    </w:p>
    <w:p>
      <w:pPr>
        <w:spacing w:before="100" w:after="18"/>
        <w:pBdr>
          <w:bottom w:val="single" w:sz="8" w:space="4" w:color="2B547E"/>
        </w:pBdr>
      </w:pPr>
      <w:r>
        <w:rPr>
          <w:rFonts w:ascii="Arial" w:hAnsi="Arial"/>
          <w:b/>
          <w:i w:val="0"/>
          <w:color w:val="2B547E"/>
          <w:sz w:val="19"/>
        </w:rPr>
        <w:t>PROFESSIONAL EXPERIENCE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KAISER PERMANENTE</w:t>
      </w:r>
      <w:r>
        <w:rPr>
          <w:rFonts w:ascii="Arial" w:hAnsi="Arial"/>
          <w:b w:val="0"/>
          <w:i w:val="0"/>
          <w:color w:val="888888"/>
          <w:sz w:val="15"/>
        </w:rPr>
        <w:t xml:space="preserve">  |  Pleasanton, CA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7"/>
        </w:rPr>
        <w:t>SOA Technical Product Manager — Enterprise Platform &amp; Internal Tooling</w:t>
      </w:r>
      <w:r>
        <w:rPr>
          <w:rFonts w:ascii="Arial" w:hAnsi="Arial"/>
          <w:b w:val="0"/>
          <w:i w:val="0"/>
          <w:color w:val="888888"/>
          <w:sz w:val="15"/>
        </w:rPr>
        <w:t xml:space="preserve">    08/12 – 12/18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Led development and enterprise rollout of Splunk Logging-as-a-Service platform (1.7 TB daily volume, 200+ internal enterprise customers) — a mission-critical internal tooling platform in a regulated healthcare environment supporting operational reliability across multiple datacenters.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Built Redis and XC10 caching layer across the enterprise to address platform scalability, fault tolerance, and data redundancy — improving reliability during peak operational periods.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Led demand forecasting and capacity planning for SOA product suite, analyzing demand drivers and developing IT capacity plans to ensure platform performance through seasonal and high-volume periods.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Partnered cross-functionally with Engineering, Operations, and business leadership to prioritize platform investments and translate complex technical tradeoffs into clear roadmap decisions.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INTUIT</w:t>
      </w:r>
      <w:r>
        <w:rPr>
          <w:rFonts w:ascii="Arial" w:hAnsi="Arial"/>
          <w:b w:val="0"/>
          <w:i w:val="0"/>
          <w:color w:val="888888"/>
          <w:sz w:val="15"/>
        </w:rPr>
        <w:t xml:space="preserve">  |  Mountain View, CA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7"/>
        </w:rPr>
        <w:t>Staff Product Manager — Developer Frameworks &amp; Platform Infrastructure</w:t>
      </w:r>
      <w:r>
        <w:rPr>
          <w:rFonts w:ascii="Arial" w:hAnsi="Arial"/>
          <w:b w:val="0"/>
          <w:i w:val="0"/>
          <w:color w:val="888888"/>
          <w:sz w:val="15"/>
        </w:rPr>
        <w:t xml:space="preserve">    06/21 – 09/24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Scaled ICE platform to 675M+ engagements in FY23 (275% YoY growth) across QuickBooks, TurboTax, Mint, Mailchimp, and Credit Karma; drove rSocket migration supporting ~1.5M concurrent connections at 50K TPS with sub-25ms TP99 — demonstrating platform reliability at enterprise scale.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Delivered ICE Self-Service platform (DevPortal, GitOps config, ICE Playground), reducing developer onboarding from 2–3 weeks to &lt;24 hours for production and mitigating $1M+ in projected opex growth — a legacy tooling modernization that dramatically reduced operational friction.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Built Asterias, a declarative asset lifecycle management platform with GraphQL API, and used SQL/BigQuery telemetry to prioritize platform investments across ~20 mobile apps and 30+ product SKUs.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Extended Java and Python SDK Starter Kits with scaffolding templates, CI/CD integration, and build configurations — enabling developers to go from zero to production-ready microservice in minutes.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Initiated MSaaS Drift Detection and Resolution program: authored Java JAR library to scan Git repos for configuration drift and built remediation roadmap using OpenRewrite — reducing platform inconsistency at scale.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Led Mailchimp GCP-to-AWS migration for MSaaS, delivering Golang service template, MySQL persistence integration, and updated API documentation to meet production deadline.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Implemented ICE Presence in async chat, generating $480K/month in additional invoicing; deployed Background-to-Foreground Messaging on iOS/Android with &lt;100ms latency.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SPLUNK INC.</w:t>
      </w:r>
      <w:r>
        <w:rPr>
          <w:rFonts w:ascii="Arial" w:hAnsi="Arial"/>
          <w:b w:val="0"/>
          <w:i w:val="0"/>
          <w:color w:val="888888"/>
          <w:sz w:val="15"/>
        </w:rPr>
        <w:t xml:space="preserve">  |  San Francisco, CA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7"/>
        </w:rPr>
        <w:t>Senior Product Manager — Search Orchestration</w:t>
      </w:r>
      <w:r>
        <w:rPr>
          <w:rFonts w:ascii="Arial" w:hAnsi="Arial"/>
          <w:b w:val="0"/>
          <w:i w:val="0"/>
          <w:color w:val="888888"/>
          <w:sz w:val="15"/>
        </w:rPr>
        <w:t xml:space="preserve">    01/19 – 01/21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Owned Search Service (Go microservices), Search Catalog (PostgreSQL metadata service), and Splunk Processing Language (SPL/SPL2) — managing a complex, multi-system platform with internal, third-party developer, and Fortune 500 customer stakeholders.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Delivered Scheduler Service end-to-end in ~4 months, enabling scheduled search capabilities for first-party applications; led query performance optimization achieving up to 10x improvements for a beta enterprise customer.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Designed RICE-based prioritization framework for 3 microservice backlogs, balancing competing stakeholder requirements and making thoughtful roadmap tradeoffs across a broad product surface.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STREAMIO AI</w:t>
      </w:r>
      <w:r>
        <w:rPr>
          <w:rFonts w:ascii="Arial" w:hAnsi="Arial"/>
          <w:b w:val="0"/>
          <w:i w:val="0"/>
          <w:color w:val="888888"/>
          <w:sz w:val="15"/>
        </w:rPr>
        <w:t xml:space="preserve">  |  Oakland, CA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7"/>
        </w:rPr>
        <w:t>Founder &amp; CEO — AI Workflow &amp; Payments Platform</w:t>
      </w:r>
      <w:r>
        <w:rPr>
          <w:rFonts w:ascii="Arial" w:hAnsi="Arial"/>
          <w:b w:val="0"/>
          <w:i w:val="0"/>
          <w:color w:val="888888"/>
          <w:sz w:val="15"/>
        </w:rPr>
        <w:t xml:space="preserve">    09/24 – Present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Implemented OpenClaw multi-agent orchestration framework with gateway protocol and subagent delegation — enabling coordinated AI agent workflows that automate complex, multi-step processes across real estate, insurance, and financial services industries.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Built end-to-end billing and payments pipeline using Kinde OAuth 2.0, Stripe subscriptions (tiered plans), and Electron SafeStorage for secure credential management — directly analogous to member billing and payment workflow systems.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Deployed AI-powered analysis (Claude MCP SDK) for automated report generation and contextual advisory interactions, reducing manual workflow steps and improving end-to-end user journey efficiency.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FINTELLECT AI</w:t>
      </w:r>
      <w:r>
        <w:rPr>
          <w:rFonts w:ascii="Arial" w:hAnsi="Arial"/>
          <w:b w:val="0"/>
          <w:i w:val="0"/>
          <w:color w:val="888888"/>
          <w:sz w:val="15"/>
        </w:rPr>
        <w:t xml:space="preserve">  |  Oakland, CA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7"/>
        </w:rPr>
        <w:t>Founder &amp; CEO — Regulated Fintech AI Platform</w:t>
      </w:r>
      <w:r>
        <w:rPr>
          <w:rFonts w:ascii="Arial" w:hAnsi="Arial"/>
          <w:b w:val="0"/>
          <w:i w:val="0"/>
          <w:color w:val="888888"/>
          <w:sz w:val="15"/>
        </w:rPr>
        <w:t xml:space="preserve">    09/24 – Present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Architected RAG retrieval pipeline with multi-provider LLM orchestration (Claude, GPT-4, Gemini), fallback routing, and structured output validation — enabling AI to handle simpler member inquiries while routing complex cases to human agents.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Led customer discovery and iterative product refinement for a regulated fintech platform, executing go-to-market through App Store launch and establishing partnerships with industry stakeholders.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IBM</w:t>
      </w:r>
      <w:r>
        <w:rPr>
          <w:rFonts w:ascii="Arial" w:hAnsi="Arial"/>
          <w:b w:val="0"/>
          <w:i w:val="0"/>
          <w:color w:val="888888"/>
          <w:sz w:val="15"/>
        </w:rPr>
        <w:t xml:space="preserve">  |  Pittsburgh, PA / Foster City, CA / RTP, NC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7"/>
        </w:rPr>
        <w:t>Software Engineer — Business Intelligence Products</w:t>
      </w:r>
      <w:r>
        <w:rPr>
          <w:rFonts w:ascii="Arial" w:hAnsi="Arial"/>
          <w:b w:val="0"/>
          <w:i w:val="0"/>
          <w:color w:val="888888"/>
          <w:sz w:val="15"/>
        </w:rPr>
        <w:t xml:space="preserve">    07/05 – 03/10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Resolved multiple $1–5M high-severity customer escalations for enterprise software products; led cross-functional root cause analysis and customer-facing resolution, improving case resolution time by 20% — directly improving issue resolution quality and first-call resolution outcomes.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BANK OF AMERICA MERRILL LYNCH</w:t>
      </w:r>
      <w:r>
        <w:rPr>
          <w:rFonts w:ascii="Arial" w:hAnsi="Arial"/>
          <w:b w:val="0"/>
          <w:i w:val="0"/>
          <w:color w:val="888888"/>
          <w:sz w:val="15"/>
        </w:rPr>
        <w:t xml:space="preserve">  |  Charlotte, NC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7"/>
        </w:rPr>
        <w:t>Tech MBA Summer Associate — Global Corporate &amp; Investment Banking T&amp;O</w:t>
      </w:r>
      <w:r>
        <w:rPr>
          <w:rFonts w:ascii="Arial" w:hAnsi="Arial"/>
          <w:b w:val="0"/>
          <w:i w:val="0"/>
          <w:color w:val="888888"/>
          <w:sz w:val="15"/>
        </w:rPr>
        <w:t xml:space="preserve">    06/11 – 08/11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Developed Monte Carlo simulation model to optimize DMAIC phase distribution across a $494M portfolio in a regulated financial services environment.</w:t>
      </w:r>
    </w:p>
    <w:p>
      <w:pPr>
        <w:spacing w:before="100" w:after="18"/>
        <w:pBdr>
          <w:bottom w:val="single" w:sz="8" w:space="4" w:color="2B547E"/>
        </w:pBdr>
      </w:pPr>
      <w:r>
        <w:rPr>
          <w:rFonts w:ascii="Arial" w:hAnsi="Arial"/>
          <w:b/>
          <w:i w:val="0"/>
          <w:color w:val="2B547E"/>
          <w:sz w:val="19"/>
        </w:rPr>
        <w:t>AI/ML RESEARCH &amp; PROJECTS</w:t>
      </w:r>
    </w:p>
    <w:p>
      <w:pPr>
        <w:spacing w:before="45" w:after="5"/>
      </w:pPr>
      <w:r>
        <w:rPr>
          <w:rFonts w:ascii="Arial" w:hAnsi="Arial"/>
          <w:b/>
          <w:i w:val="0"/>
          <w:color w:val="1A1A1A"/>
          <w:sz w:val="16"/>
        </w:rPr>
        <w:t>aeval — AI Model Evaluation Platform</w:t>
      </w:r>
      <w:r>
        <w:rPr>
          <w:rFonts w:ascii="Arial" w:hAnsi="Arial"/>
          <w:b w:val="0"/>
          <w:i w:val="0"/>
          <w:color w:val="888888"/>
          <w:sz w:val="15"/>
        </w:rPr>
        <w:t xml:space="preserve">  (2025–2026)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Built local-first evaluation platform with FastAPI orchestrator, TimescaleDB, Redis job queue, and Next.js dashboard — featuring CI/CD integration with automated regression detection and safety gates; demonstrates ability to build internal tooling platforms with rigorous quality and reliability standards.</w:t>
      </w:r>
    </w:p>
    <w:p>
      <w:pPr>
        <w:spacing w:before="45" w:after="5"/>
      </w:pPr>
      <w:r>
        <w:rPr>
          <w:rFonts w:ascii="Arial" w:hAnsi="Arial"/>
          <w:b/>
          <w:i w:val="0"/>
          <w:color w:val="1A1A1A"/>
          <w:sz w:val="16"/>
        </w:rPr>
        <w:t>RL Workbench — Post-Training RL Platform</w:t>
      </w:r>
      <w:r>
        <w:rPr>
          <w:rFonts w:ascii="Arial" w:hAnsi="Arial"/>
          <w:b w:val="0"/>
          <w:i w:val="0"/>
          <w:color w:val="888888"/>
          <w:sz w:val="15"/>
        </w:rPr>
        <w:t xml:space="preserve">  (2026)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Built 3-phase RL post-training workbench benchmarking GRPO/DPO across TRL, VeRL, OpenRLHF, and NeMo RL with live SSE metric streaming — applied AI/ML platform engineering directly relevant to building AI-augmented support workflows.</w:t>
      </w:r>
    </w:p>
    <w:p>
      <w:pPr>
        <w:spacing w:before="45" w:after="5"/>
      </w:pPr>
      <w:r>
        <w:rPr>
          <w:rFonts w:ascii="Arial" w:hAnsi="Arial"/>
          <w:b/>
          <w:i w:val="0"/>
          <w:color w:val="1A1A1A"/>
          <w:sz w:val="16"/>
        </w:rPr>
        <w:t>BRAIN — Protein Structure Prediction ML Platform</w:t>
      </w:r>
      <w:r>
        <w:rPr>
          <w:rFonts w:ascii="Arial" w:hAnsi="Arial"/>
          <w:b w:val="0"/>
          <w:i w:val="0"/>
          <w:color w:val="888888"/>
          <w:sz w:val="15"/>
        </w:rPr>
        <w:t xml:space="preserve">  (UC Berkeley 2004; rewritten 2026)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NeurIPS 2014 accepted paper; production ML platform in PyTorch with MLflow, Optuna HPO, and FastAPI serving — original 2004 system hand-coded in C++ with custom BPTT, rewritten to span 413 to 8B parameters.</w:t>
      </w:r>
    </w:p>
    <w:p>
      <w:pPr>
        <w:spacing w:before="100" w:after="18"/>
        <w:pBdr>
          <w:bottom w:val="single" w:sz="8" w:space="4" w:color="2B547E"/>
        </w:pBdr>
      </w:pPr>
      <w:r>
        <w:rPr>
          <w:rFonts w:ascii="Arial" w:hAnsi="Arial"/>
          <w:b/>
          <w:i w:val="0"/>
          <w:color w:val="2B547E"/>
          <w:sz w:val="19"/>
        </w:rPr>
        <w:t>EDUCATION</w:t>
      </w:r>
    </w:p>
    <w:p>
      <w:pPr>
        <w:spacing w:before="28" w:after="2"/>
      </w:pPr>
      <w:r>
        <w:rPr>
          <w:rFonts w:ascii="Arial" w:hAnsi="Arial"/>
          <w:b/>
          <w:i w:val="0"/>
          <w:color w:val="1A1A1A"/>
          <w:sz w:val="17"/>
        </w:rPr>
        <w:t>CARNEGIE MELLON UNIVERSITY, SILICON VALLEY</w:t>
      </w:r>
    </w:p>
    <w:p>
      <w:pPr>
        <w:spacing w:before="0" w:after="5"/>
      </w:pPr>
      <w:r>
        <w:rPr>
          <w:rFonts w:ascii="Arial" w:hAnsi="Arial"/>
          <w:b w:val="0"/>
          <w:i w:val="0"/>
          <w:color w:val="555555"/>
          <w:sz w:val="16"/>
        </w:rPr>
        <w:t>Master of Science — Software Management</w:t>
      </w:r>
      <w:r>
        <w:rPr>
          <w:rFonts w:ascii="Arial" w:hAnsi="Arial"/>
          <w:b w:val="0"/>
          <w:i w:val="0"/>
          <w:color w:val="888888"/>
          <w:sz w:val="15"/>
        </w:rPr>
        <w:t xml:space="preserve">    Mountain View, CA (08/16)</w:t>
      </w:r>
    </w:p>
    <w:p>
      <w:pPr>
        <w:spacing w:before="28" w:after="2"/>
      </w:pPr>
      <w:r>
        <w:rPr>
          <w:rFonts w:ascii="Arial" w:hAnsi="Arial"/>
          <w:b/>
          <w:i w:val="0"/>
          <w:color w:val="1A1A1A"/>
          <w:sz w:val="17"/>
        </w:rPr>
        <w:t>CARNEGIE MELLON, TEPPER SCHOOL OF BUSINESS</w:t>
      </w:r>
    </w:p>
    <w:p>
      <w:pPr>
        <w:spacing w:before="0" w:after="5"/>
      </w:pPr>
      <w:r>
        <w:rPr>
          <w:rFonts w:ascii="Arial" w:hAnsi="Arial"/>
          <w:b w:val="0"/>
          <w:i w:val="0"/>
          <w:color w:val="555555"/>
          <w:sz w:val="16"/>
        </w:rPr>
        <w:t>Master of Business Administration — Concentrations: Finance, Quantitative Analysis, Economics</w:t>
      </w:r>
      <w:r>
        <w:rPr>
          <w:rFonts w:ascii="Arial" w:hAnsi="Arial"/>
          <w:b w:val="0"/>
          <w:i w:val="0"/>
          <w:color w:val="888888"/>
          <w:sz w:val="15"/>
        </w:rPr>
        <w:t xml:space="preserve">    Pittsburgh, PA (03/12)</w:t>
      </w:r>
    </w:p>
    <w:p>
      <w:pPr>
        <w:spacing w:before="28" w:after="2"/>
      </w:pPr>
      <w:r>
        <w:rPr>
          <w:rFonts w:ascii="Arial" w:hAnsi="Arial"/>
          <w:b/>
          <w:i w:val="0"/>
          <w:color w:val="1A1A1A"/>
          <w:sz w:val="17"/>
        </w:rPr>
        <w:t>UC BERKELEY, COLLEGE OF ENGINEERING &amp; HAAS SCHOOL OF BUSINESS</w:t>
      </w:r>
    </w:p>
    <w:p>
      <w:pPr>
        <w:spacing w:before="0" w:after="5"/>
      </w:pPr>
      <w:r>
        <w:rPr>
          <w:rFonts w:ascii="Arial" w:hAnsi="Arial"/>
          <w:b w:val="0"/>
          <w:i w:val="0"/>
          <w:color w:val="555555"/>
          <w:sz w:val="16"/>
        </w:rPr>
        <w:t>Bachelor of Science — Computational Engineering Science</w:t>
      </w:r>
      <w:r>
        <w:rPr>
          <w:rFonts w:ascii="Arial" w:hAnsi="Arial"/>
          <w:b w:val="0"/>
          <w:i w:val="0"/>
          <w:color w:val="888888"/>
          <w:sz w:val="15"/>
        </w:rPr>
        <w:t xml:space="preserve">    Berkeley, CA (12/05)</w:t>
      </w:r>
    </w:p>
    <w:p>
      <w:pPr>
        <w:spacing w:before="0" w:after="5"/>
      </w:pPr>
      <w:r>
        <w:rPr>
          <w:rFonts w:ascii="Arial" w:hAnsi="Arial"/>
          <w:b w:val="0"/>
          <w:i w:val="0"/>
          <w:color w:val="555555"/>
          <w:sz w:val="16"/>
        </w:rPr>
        <w:t>Certificate — Corporate Finance for Financial Engineering</w:t>
      </w:r>
    </w:p>
    <w:p>
      <w:pPr>
        <w:spacing w:before="100" w:after="18"/>
        <w:pBdr>
          <w:bottom w:val="single" w:sz="8" w:space="4" w:color="2B547E"/>
        </w:pBdr>
      </w:pPr>
      <w:r>
        <w:rPr>
          <w:rFonts w:ascii="Arial" w:hAnsi="Arial"/>
          <w:b/>
          <w:i w:val="0"/>
          <w:color w:val="2B547E"/>
          <w:sz w:val="19"/>
        </w:rPr>
        <w:t>TEACHING EXPERIENCE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DE ANZA COLLEGE</w:t>
      </w:r>
      <w:r>
        <w:rPr>
          <w:rFonts w:ascii="Arial" w:hAnsi="Arial"/>
          <w:b w:val="0"/>
          <w:i w:val="0"/>
          <w:color w:val="888888"/>
          <w:sz w:val="15"/>
        </w:rPr>
        <w:t xml:space="preserve">  |  Cupertino, CA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7"/>
        </w:rPr>
        <w:t>Adjunct Faculty — Computer Information Systems Department</w:t>
      </w:r>
      <w:r>
        <w:rPr>
          <w:rFonts w:ascii="Arial" w:hAnsi="Arial"/>
          <w:b w:val="0"/>
          <w:i w:val="0"/>
          <w:color w:val="888888"/>
          <w:sz w:val="15"/>
        </w:rPr>
        <w:t xml:space="preserve">    04/18 – Present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Courses: Java Programming (CIS 35A/B, 36A/B), Introduction to PL/SQL (CIS 64C/G), Introduction to Data Analytics (CIS 44F), Fundamentals of Large Scale Cloud Computing — AWS, GCP (CIS 64E), Ethical Hacking (CIS 102), Digital Forensics (CIS 104), Managing Cloud Projects (CIS 95F).</w:t>
      </w:r>
    </w:p>
    <w:p>
      <w:pPr>
        <w:spacing w:before="100" w:after="18"/>
        <w:pBdr>
          <w:bottom w:val="single" w:sz="8" w:space="4" w:color="2B547E"/>
        </w:pBdr>
      </w:pPr>
      <w:r>
        <w:rPr>
          <w:rFonts w:ascii="Arial" w:hAnsi="Arial"/>
          <w:b/>
          <w:i w:val="0"/>
          <w:color w:val="2B547E"/>
          <w:sz w:val="19"/>
        </w:rPr>
        <w:t>ADDITIONAL INFORMATION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FAA Commercial Drone License; FAA Private Pilot License (intended CFI)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O'Reilly &amp; OER Publications: Data Analytics and Managing Cloud Projects (forthcoming Summer 2026)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First Tee Assistant Golf Coach — San Francisco Chapter (2012–Present), Pittsburgh Chapter (2011–2012)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Interests: Classical &amp; Jazz Saxophone (Alto/Tenor/Baritone), Triathlon, Golf, Intramural Basketball &amp; Soccer</w:t>
      </w:r>
    </w:p>
    <w:sectPr w:rsidR="00FC693F" w:rsidRPr="0006063C" w:rsidSect="00034616">
      <w:pgSz w:w="12240" w:h="15840"/>
      <w:pgMar w:top="400" w:right="560" w:bottom="380" w:left="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elixamoruwa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