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60" w:after="60"/>
      </w:pPr>
      <w:r>
        <w:rPr>
          <w:rFonts w:ascii="Arial" w:hAnsi="Arial"/>
          <w:b w:val="0"/>
          <w:i w:val="0"/>
          <w:color w:val="555555"/>
          <w:sz w:val="16"/>
        </w:rPr>
        <w:t>Technical Product Manager with 12+ years owning integration platforms, data reliability infrastructure, and enterprise customer partnerships at scale — including 6+ years in healthcare and regulated data environments. At Kaiser Permanente, built and operated enterprise data services handling 1.7 TB daily across 200+ internal customers; at Intuit, compressed developer onboarding from weeks to minutes and scaled platform throughput to 675M+ engagements by building reusable integration patterns and monitoring frameworks. Proven track record driving AI-augmented data operations, concurrent integration execution, and downstream accountability to clinical, analytics, and product teams. NeurIPS published researcher; Carnegie Mellon MS &amp; MBA.</w:t>
      </w:r>
    </w:p>
    <w:p>
      <w:pPr>
        <w:spacing w:before="110" w:after="20"/>
        <w:pBdr>
          <w:bottom w:val="single" w:sz="8" w:space="4" w:color="2B547E"/>
        </w:pBdr>
      </w:pPr>
      <w:r>
        <w:rPr>
          <w:rFonts w:ascii="Arial" w:hAnsi="Arial"/>
          <w:b/>
          <w:i w:val="0"/>
          <w:color w:val="2B547E"/>
          <w:sz w:val="19"/>
        </w:rPr>
        <w:t>PROFESSIONAL EXPERIENCE</w:t>
      </w:r>
    </w:p>
    <w:p>
      <w:pPr>
        <w:spacing w:before="60"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2"/>
      </w:pPr>
      <w:r>
        <w:rPr>
          <w:rFonts w:ascii="Arial" w:hAnsi="Arial"/>
          <w:b w:val="0"/>
          <w:i/>
          <w:color w:val="555555"/>
          <w:sz w:val="17"/>
        </w:rPr>
        <w:t>SOA Technical Product Manager — Enterprise Data &amp; Integration Services</w:t>
      </w:r>
      <w:r>
        <w:rPr>
          <w:rFonts w:ascii="Arial" w:hAnsi="Arial"/>
          <w:b w:val="0"/>
          <w:i w:val="0"/>
          <w:color w:val="888888"/>
          <w:sz w:val="15"/>
        </w:rPr>
        <w:t xml:space="preserve">    08/12 – 12/18</w:t>
      </w:r>
    </w:p>
    <w:p>
      <w:pPr>
        <w:spacing w:before="5" w:after="5"/>
        <w:ind w:left="360" w:hanging="200"/>
      </w:pPr>
      <w:r>
        <w:rPr>
          <w:rFonts w:ascii="Arial" w:hAnsi="Arial"/>
          <w:b w:val="0"/>
          <w:i w:val="0"/>
          <w:color w:val="1A1A1A"/>
          <w:sz w:val="17"/>
        </w:rPr>
        <w:t>•</w:t>
        <w:tab/>
      </w:r>
      <w:r>
        <w:rPr>
          <w:rFonts w:ascii="Arial" w:hAnsi="Arial"/>
          <w:b w:val="0"/>
          <w:i w:val="0"/>
          <w:color w:val="1A1A1A"/>
          <w:sz w:val="17"/>
        </w:rPr>
        <w:t>Owned enterprise data reliability and monitoring infrastructure in a healthcare setting: led development and rollout of Splunk Logging-as-a-Service (1.7 TB daily volume, 200+ internal enterprise customers) and ITSI Application Monitoring-as-a-Service — ensuring data health across clinical and operational systems.</w:t>
      </w:r>
    </w:p>
    <w:p>
      <w:pPr>
        <w:spacing w:before="5" w:after="5"/>
        <w:ind w:left="360" w:hanging="200"/>
      </w:pPr>
      <w:r>
        <w:rPr>
          <w:rFonts w:ascii="Arial" w:hAnsi="Arial"/>
          <w:b w:val="0"/>
          <w:i w:val="0"/>
          <w:color w:val="1A1A1A"/>
          <w:sz w:val="17"/>
        </w:rPr>
        <w:t>•</w:t>
        <w:tab/>
      </w:r>
      <w:r>
        <w:rPr>
          <w:rFonts w:ascii="Arial" w:hAnsi="Arial"/>
          <w:b w:val="0"/>
          <w:i w:val="0"/>
          <w:color w:val="1A1A1A"/>
          <w:sz w:val="17"/>
        </w:rPr>
        <w:t>Built caching and data redundancy layer using Redis and XC10 across the enterprise, addressing scalability, fault tolerance, and data completeness challenges for SOA platform consumers.</w:t>
      </w:r>
    </w:p>
    <w:p>
      <w:pPr>
        <w:spacing w:before="5" w:after="5"/>
        <w:ind w:left="360" w:hanging="200"/>
      </w:pPr>
      <w:r>
        <w:rPr>
          <w:rFonts w:ascii="Arial" w:hAnsi="Arial"/>
          <w:b w:val="0"/>
          <w:i w:val="0"/>
          <w:color w:val="1A1A1A"/>
          <w:sz w:val="17"/>
        </w:rPr>
        <w:t>•</w:t>
        <w:tab/>
      </w:r>
      <w:r>
        <w:rPr>
          <w:rFonts w:ascii="Arial" w:hAnsi="Arial"/>
          <w:b w:val="0"/>
          <w:i w:val="0"/>
          <w:color w:val="1A1A1A"/>
          <w:sz w:val="17"/>
        </w:rPr>
        <w:t>Led demand forecasting and capacity planning for the SOA product suite, analyzing data demand drivers and developing IT capacity plans across multiple datacenters to ensure continuous data availability for downstream teams.</w:t>
      </w:r>
    </w:p>
    <w:p>
      <w:pPr>
        <w:spacing w:before="60"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2"/>
      </w:pPr>
      <w:r>
        <w:rPr>
          <w:rFonts w:ascii="Arial" w:hAnsi="Arial"/>
          <w:b w:val="0"/>
          <w:i/>
          <w:color w:val="555555"/>
          <w:sz w:val="17"/>
        </w:rPr>
        <w:t>Staff Product Manager — Integration Platform &amp; Developer Infrastructure</w:t>
      </w:r>
      <w:r>
        <w:rPr>
          <w:rFonts w:ascii="Arial" w:hAnsi="Arial"/>
          <w:b w:val="0"/>
          <w:i w:val="0"/>
          <w:color w:val="888888"/>
          <w:sz w:val="15"/>
        </w:rPr>
        <w:t xml:space="preserve">    06/21 – 09/24</w:t>
      </w:r>
    </w:p>
    <w:p>
      <w:pPr>
        <w:spacing w:before="5" w:after="5"/>
        <w:ind w:left="360" w:hanging="200"/>
      </w:pPr>
      <w:r>
        <w:rPr>
          <w:rFonts w:ascii="Arial" w:hAnsi="Arial"/>
          <w:b w:val="0"/>
          <w:i w:val="0"/>
          <w:color w:val="1A1A1A"/>
          <w:sz w:val="17"/>
        </w:rPr>
        <w:t>•</w:t>
        <w:tab/>
      </w:r>
      <w:r>
        <w:rPr>
          <w:rFonts w:ascii="Arial" w:hAnsi="Arial"/>
          <w:b w:val="0"/>
          <w:i w:val="0"/>
          <w:color w:val="1A1A1A"/>
          <w:sz w:val="17"/>
        </w:rPr>
        <w:t>Achieved 275% YoY growth in ICE platform engagements, scaling to 675M+ in FY23 across QuickBooks, TurboTax, Mint, Mailchimp, and Credit Karma; scaled throughput from 6K to 50K TPS via rSocket migration supporting ~1.5M concurrent connections with sub-25ms TP99.</w:t>
      </w:r>
    </w:p>
    <w:p>
      <w:pPr>
        <w:spacing w:before="5" w:after="5"/>
        <w:ind w:left="360" w:hanging="200"/>
      </w:pPr>
      <w:r>
        <w:rPr>
          <w:rFonts w:ascii="Arial" w:hAnsi="Arial"/>
          <w:b w:val="0"/>
          <w:i w:val="0"/>
          <w:color w:val="1A1A1A"/>
          <w:sz w:val="17"/>
        </w:rPr>
        <w:t>•</w:t>
        <w:tab/>
      </w:r>
      <w:r>
        <w:rPr>
          <w:rFonts w:ascii="Arial" w:hAnsi="Arial"/>
          <w:b w:val="0"/>
          <w:i w:val="0"/>
          <w:color w:val="1A1A1A"/>
          <w:sz w:val="17"/>
        </w:rPr>
        <w:t>Delivered ICE Self-Service platform (DevPortal, GitOps config, ICE Playground), compressing customer onboarding from 2–3 weeks to minutes in pre-prod and &lt;24 hours for production — a direct model for making each successive integration faster than the last.</w:t>
      </w:r>
    </w:p>
    <w:p>
      <w:pPr>
        <w:spacing w:before="5" w:after="5"/>
        <w:ind w:left="360" w:hanging="200"/>
      </w:pPr>
      <w:r>
        <w:rPr>
          <w:rFonts w:ascii="Arial" w:hAnsi="Arial"/>
          <w:b w:val="0"/>
          <w:i w:val="0"/>
          <w:color w:val="1A1A1A"/>
          <w:sz w:val="17"/>
        </w:rPr>
        <w:t>•</w:t>
        <w:tab/>
      </w:r>
      <w:r>
        <w:rPr>
          <w:rFonts w:ascii="Arial" w:hAnsi="Arial"/>
          <w:b w:val="0"/>
          <w:i w:val="0"/>
          <w:color w:val="1A1A1A"/>
          <w:sz w:val="17"/>
        </w:rPr>
        <w:t>Initiated MSaaS Drift Detection and Resolution program: built Java JAR library to scan Git repos for configuration drift, designed monitoring framework with DevPortal UI, and built remediation roadmap — proactively identifying data and config issues before they surfaced in product behavior.</w:t>
      </w:r>
    </w:p>
    <w:p>
      <w:pPr>
        <w:spacing w:before="5" w:after="5"/>
        <w:ind w:left="360" w:hanging="200"/>
      </w:pPr>
      <w:r>
        <w:rPr>
          <w:rFonts w:ascii="Arial" w:hAnsi="Arial"/>
          <w:b w:val="0"/>
          <w:i w:val="0"/>
          <w:color w:val="1A1A1A"/>
          <w:sz w:val="17"/>
        </w:rPr>
        <w:t>•</w:t>
        <w:tab/>
      </w:r>
      <w:r>
        <w:rPr>
          <w:rFonts w:ascii="Arial" w:hAnsi="Arial"/>
          <w:b w:val="0"/>
          <w:i w:val="0"/>
          <w:color w:val="1A1A1A"/>
          <w:sz w:val="17"/>
        </w:rPr>
        <w:t>Built Asterias, a declarative asset lifecycle management platform with GraphQL API, establishing reusable integration patterns and standard data expectations across ~20 mobile apps and 30+ product SKUs.</w:t>
      </w:r>
    </w:p>
    <w:p>
      <w:pPr>
        <w:spacing w:before="5" w:after="5"/>
        <w:ind w:left="360" w:hanging="200"/>
      </w:pPr>
      <w:r>
        <w:rPr>
          <w:rFonts w:ascii="Arial" w:hAnsi="Arial"/>
          <w:b w:val="0"/>
          <w:i w:val="0"/>
          <w:color w:val="1A1A1A"/>
          <w:sz w:val="17"/>
        </w:rPr>
        <w:t>•</w:t>
        <w:tab/>
      </w:r>
      <w:r>
        <w:rPr>
          <w:rFonts w:ascii="Arial" w:hAnsi="Arial"/>
          <w:b w:val="0"/>
          <w:i w:val="0"/>
          <w:color w:val="1A1A1A"/>
          <w:sz w:val="17"/>
        </w:rPr>
        <w:t>Led Mailchimp GCP-to-AWS migration for MSaaS, delivering Golang service template, MySQL persistence integration, and updated documentation — managing concurrent integration execution across multiple customer environments.</w:t>
      </w:r>
    </w:p>
    <w:p>
      <w:pPr>
        <w:spacing w:before="5" w:after="5"/>
        <w:ind w:left="360" w:hanging="200"/>
      </w:pPr>
      <w:r>
        <w:rPr>
          <w:rFonts w:ascii="Arial" w:hAnsi="Arial"/>
          <w:b w:val="0"/>
          <w:i w:val="0"/>
          <w:color w:val="1A1A1A"/>
          <w:sz w:val="17"/>
        </w:rPr>
        <w:t>•</w:t>
        <w:tab/>
      </w:r>
      <w:r>
        <w:rPr>
          <w:rFonts w:ascii="Arial" w:hAnsi="Arial"/>
          <w:b w:val="0"/>
          <w:i w:val="0"/>
          <w:color w:val="1A1A1A"/>
          <w:sz w:val="17"/>
        </w:rPr>
        <w:t>Conducted enterprise-wide Service Language Assessment across 9 languages, analyzing usage data and developer feedback to inform strategic platform investment decisions presented to CTO.</w:t>
      </w:r>
    </w:p>
    <w:p>
      <w:pPr>
        <w:spacing w:before="60"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2"/>
      </w:pPr>
      <w:r>
        <w:rPr>
          <w:rFonts w:ascii="Arial" w:hAnsi="Arial"/>
          <w:b w:val="0"/>
          <w:i/>
          <w:color w:val="555555"/>
          <w:sz w:val="17"/>
        </w:rPr>
        <w:t>Senior Product Manager — Search &amp; Data Pipeline Services</w:t>
      </w:r>
      <w:r>
        <w:rPr>
          <w:rFonts w:ascii="Arial" w:hAnsi="Arial"/>
          <w:b w:val="0"/>
          <w:i w:val="0"/>
          <w:color w:val="888888"/>
          <w:sz w:val="15"/>
        </w:rPr>
        <w:t xml:space="preserve">    01/19 – 01/21</w:t>
      </w:r>
    </w:p>
    <w:p>
      <w:pPr>
        <w:spacing w:before="5" w:after="5"/>
        <w:ind w:left="360" w:hanging="200"/>
      </w:pPr>
      <w:r>
        <w:rPr>
          <w:rFonts w:ascii="Arial" w:hAnsi="Arial"/>
          <w:b w:val="0"/>
          <w:i w:val="0"/>
          <w:color w:val="1A1A1A"/>
          <w:sz w:val="17"/>
        </w:rPr>
        <w:t>•</w:t>
        <w:tab/>
      </w:r>
      <w:r>
        <w:rPr>
          <w:rFonts w:ascii="Arial" w:hAnsi="Arial"/>
          <w:b w:val="0"/>
          <w:i w:val="0"/>
          <w:color w:val="1A1A1A"/>
          <w:sz w:val="17"/>
        </w:rPr>
        <w:t>Owned Search Service (Go microservices), Search Catalog (PostgreSQL metadata service), and Splunk Processing Language (SPL/SPL2) — accountable for data reliability and pipeline performance for Splunk Cloud Services (SCS).</w:t>
      </w:r>
    </w:p>
    <w:p>
      <w:pPr>
        <w:spacing w:before="5" w:after="5"/>
        <w:ind w:left="360" w:hanging="200"/>
      </w:pPr>
      <w:r>
        <w:rPr>
          <w:rFonts w:ascii="Arial" w:hAnsi="Arial"/>
          <w:b w:val="0"/>
          <w:i w:val="0"/>
          <w:color w:val="1A1A1A"/>
          <w:sz w:val="17"/>
        </w:rPr>
        <w:t>•</w:t>
        <w:tab/>
      </w:r>
      <w:r>
        <w:rPr>
          <w:rFonts w:ascii="Arial" w:hAnsi="Arial"/>
          <w:b w:val="0"/>
          <w:i w:val="0"/>
          <w:color w:val="1A1A1A"/>
          <w:sz w:val="17"/>
        </w:rPr>
        <w:t>Served as trusted technical partner for enterprise beta customer (Assurance): built mirrored topology for benchmark testing and drove up to 10x query performance improvements, resolving data quality and throughput issues through deep technical engagement.</w:t>
      </w:r>
    </w:p>
    <w:p>
      <w:pPr>
        <w:spacing w:before="5" w:after="5"/>
        <w:ind w:left="360" w:hanging="200"/>
      </w:pPr>
      <w:r>
        <w:rPr>
          <w:rFonts w:ascii="Arial" w:hAnsi="Arial"/>
          <w:b w:val="0"/>
          <w:i w:val="0"/>
          <w:color w:val="1A1A1A"/>
          <w:sz w:val="17"/>
        </w:rPr>
        <w:t>•</w:t>
        <w:tab/>
      </w:r>
      <w:r>
        <w:rPr>
          <w:rFonts w:ascii="Arial" w:hAnsi="Arial"/>
          <w:b w:val="0"/>
          <w:i w:val="0"/>
          <w:color w:val="1A1A1A"/>
          <w:sz w:val="17"/>
        </w:rPr>
        <w:t>Delivered Scheduler Service end-to-end in ~4 months, enabling scheduled data pipeline capabilities for first-party applications; designed RICE-based prioritization framework managing 3 concurrent microservice backlogs across internal, third-party, and Fortune 500 customer requirements.</w:t>
      </w:r>
    </w:p>
    <w:p>
      <w:pPr>
        <w:spacing w:before="60"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2"/>
      </w:pPr>
      <w:r>
        <w:rPr>
          <w:rFonts w:ascii="Arial" w:hAnsi="Arial"/>
          <w:b w:val="0"/>
          <w:i/>
          <w:color w:val="555555"/>
          <w:sz w:val="17"/>
        </w:rPr>
        <w:t>Founder &amp; CEO — AI Financial Data Platform (iOS/Android/Web)</w:t>
      </w:r>
      <w:r>
        <w:rPr>
          <w:rFonts w:ascii="Arial" w:hAnsi="Arial"/>
          <w:b w:val="0"/>
          <w:i w:val="0"/>
          <w:color w:val="888888"/>
          <w:sz w:val="15"/>
        </w:rPr>
        <w:t xml:space="preserve">    09/24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Architected RAG retrieval pipeline with ChromaDB vector store, multi-provider LLM orchestration (Claude, GPT-4, Gemini) with fallback routing, structured output validation, and token budget optimization — building AI-augmented data operations patterns for financial data at scale.</w:t>
      </w:r>
    </w:p>
    <w:p>
      <w:pPr>
        <w:spacing w:before="5" w:after="5"/>
        <w:ind w:left="360" w:hanging="200"/>
      </w:pPr>
      <w:r>
        <w:rPr>
          <w:rFonts w:ascii="Arial" w:hAnsi="Arial"/>
          <w:b w:val="0"/>
          <w:i w:val="0"/>
          <w:color w:val="1A1A1A"/>
          <w:sz w:val="17"/>
        </w:rPr>
        <w:t>•</w:t>
        <w:tab/>
      </w:r>
      <w:r>
        <w:rPr>
          <w:rFonts w:ascii="Arial" w:hAnsi="Arial"/>
          <w:b w:val="0"/>
          <w:i w:val="0"/>
          <w:color w:val="1A1A1A"/>
          <w:sz w:val="17"/>
        </w:rPr>
        <w:t>Built domain-specific AI agents delivering context-aware, data-driven advisory interactions; integrated AI-powered analytics tools for automated data analysis across asset classes.</w:t>
      </w:r>
    </w:p>
    <w:p>
      <w:pPr>
        <w:spacing w:before="60"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2"/>
      </w:pPr>
      <w:r>
        <w:rPr>
          <w:rFonts w:ascii="Arial" w:hAnsi="Arial"/>
          <w:b w:val="0"/>
          <w:i/>
          <w:color w:val="555555"/>
          <w:sz w:val="17"/>
        </w:rPr>
        <w:t>Founder &amp; CEO — AI Platform (macOS, Linux, iOS &amp; Web)</w:t>
      </w:r>
      <w:r>
        <w:rPr>
          <w:rFonts w:ascii="Arial" w:hAnsi="Arial"/>
          <w:b w:val="0"/>
          <w:i w:val="0"/>
          <w:color w:val="888888"/>
          <w:sz w:val="15"/>
        </w:rPr>
        <w:t xml:space="preserve">    09/24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Implemented OpenClaw multi-agent orchestration framework with gateway protocol and subagent delegation — enabling AI-first repeatable patterns for automated data investigation and workflow coordination across multiple industry verticals.</w:t>
      </w:r>
    </w:p>
    <w:p>
      <w:pPr>
        <w:spacing w:before="5" w:after="5"/>
        <w:ind w:left="360" w:hanging="200"/>
      </w:pPr>
      <w:r>
        <w:rPr>
          <w:rFonts w:ascii="Arial" w:hAnsi="Arial"/>
          <w:b w:val="0"/>
          <w:i w:val="0"/>
          <w:color w:val="1A1A1A"/>
          <w:sz w:val="17"/>
        </w:rPr>
        <w:t>•</w:t>
        <w:tab/>
      </w:r>
      <w:r>
        <w:rPr>
          <w:rFonts w:ascii="Arial" w:hAnsi="Arial"/>
          <w:b w:val="0"/>
          <w:i w:val="0"/>
          <w:color w:val="1A1A1A"/>
          <w:sz w:val="17"/>
        </w:rPr>
        <w:t>Led 0-to-1 product strategy and go-to-market execution, driving roadmap with full autonomy from customer discovery through production launch.</w:t>
      </w:r>
    </w:p>
    <w:p>
      <w:pPr>
        <w:spacing w:before="60"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2"/>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5" w:after="5"/>
        <w:ind w:left="360" w:hanging="200"/>
      </w:pPr>
      <w:r>
        <w:rPr>
          <w:rFonts w:ascii="Arial" w:hAnsi="Arial"/>
          <w:b w:val="0"/>
          <w:i w:val="0"/>
          <w:color w:val="1A1A1A"/>
          <w:sz w:val="17"/>
        </w:rPr>
        <w:t>•</w:t>
        <w:tab/>
      </w:r>
      <w:r>
        <w:rPr>
          <w:rFonts w:ascii="Arial" w:hAnsi="Arial"/>
          <w:b w:val="0"/>
          <w:i w:val="0"/>
          <w:color w:val="1A1A1A"/>
          <w:sz w:val="17"/>
        </w:rPr>
        <w:t>Resolved multiple $1–5M high-severity enterprise customer escalations for BI data products; led cross-functional root cause analysis and customer-facing resolution — building the deep technical trust that comes from hands-on data quality triage with enterprise partners.</w:t>
      </w:r>
    </w:p>
    <w:p>
      <w:pPr>
        <w:spacing w:before="60"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2"/>
      </w:pPr>
      <w:r>
        <w:rPr>
          <w:rFonts w:ascii="Arial" w:hAnsi="Arial"/>
          <w:b w:val="0"/>
          <w:i/>
          <w:color w:val="555555"/>
          <w:sz w:val="17"/>
        </w:rPr>
        <w:t>Tech MBA Summer Associate — Global Corporate &amp; Investment Banking T&amp;O</w:t>
      </w:r>
      <w:r>
        <w:rPr>
          <w:rFonts w:ascii="Arial" w:hAnsi="Arial"/>
          <w:b w:val="0"/>
          <w:i w:val="0"/>
          <w:color w:val="888888"/>
          <w:sz w:val="15"/>
        </w:rPr>
        <w:t xml:space="preserve">    06/11 – 08/11</w:t>
      </w:r>
    </w:p>
    <w:p>
      <w:pPr>
        <w:spacing w:before="5" w:after="5"/>
        <w:ind w:left="360" w:hanging="200"/>
      </w:pPr>
      <w:r>
        <w:rPr>
          <w:rFonts w:ascii="Arial" w:hAnsi="Arial"/>
          <w:b w:val="0"/>
          <w:i w:val="0"/>
          <w:color w:val="1A1A1A"/>
          <w:sz w:val="17"/>
        </w:rPr>
        <w:t>•</w:t>
        <w:tab/>
      </w:r>
      <w:r>
        <w:rPr>
          <w:rFonts w:ascii="Arial" w:hAnsi="Arial"/>
          <w:b w:val="0"/>
          <w:i w:val="0"/>
          <w:color w:val="1A1A1A"/>
          <w:sz w:val="17"/>
        </w:rPr>
        <w:t>Developed enhanced estimation model using Monte Carlo simulation to optimize DMAIC phase distribution across a $494M portfolio in Global Technology &amp; Operations.</w:t>
      </w:r>
    </w:p>
    <w:p>
      <w:pPr>
        <w:spacing w:before="110" w:after="20"/>
        <w:pBdr>
          <w:bottom w:val="single" w:sz="8" w:space="4" w:color="2B547E"/>
        </w:pBdr>
      </w:pPr>
      <w:r>
        <w:rPr>
          <w:rFonts w:ascii="Arial" w:hAnsi="Arial"/>
          <w:b/>
          <w:i w:val="0"/>
          <w:color w:val="2B547E"/>
          <w:sz w:val="19"/>
        </w:rPr>
        <w:t>AI/ML RESEARCH &amp; PROJECTS</w:t>
      </w:r>
    </w:p>
    <w:p>
      <w:pPr>
        <w:spacing w:before="50" w:after="5"/>
      </w:pPr>
      <w:r>
        <w:rPr>
          <w:rFonts w:ascii="Arial" w:hAnsi="Arial"/>
          <w:b/>
          <w:i w:val="0"/>
          <w:color w:val="1A1A1A"/>
          <w:sz w:val="17"/>
        </w:rPr>
        <w:t>aeval — AI-Powered Data Evaluation &amp; Validation Platform</w:t>
      </w:r>
      <w:r>
        <w:rPr>
          <w:rFonts w:ascii="Arial" w:hAnsi="Arial"/>
          <w:b w:val="0"/>
          <w:i w:val="0"/>
          <w:color w:val="888888"/>
          <w:sz w:val="15"/>
        </w:rPr>
        <w:t xml:space="preserve">  (2025–2026)</w:t>
      </w:r>
    </w:p>
    <w:p>
      <w:pPr>
        <w:spacing w:before="5" w:after="5"/>
        <w:ind w:left="360" w:hanging="200"/>
      </w:pPr>
      <w:r>
        <w:rPr>
          <w:rFonts w:ascii="Arial" w:hAnsi="Arial"/>
          <w:b w:val="0"/>
          <w:i w:val="0"/>
          <w:color w:val="1A1A1A"/>
          <w:sz w:val="17"/>
        </w:rPr>
        <w:t>•</w:t>
        <w:tab/>
      </w:r>
      <w:r>
        <w:rPr>
          <w:rFonts w:ascii="Arial" w:hAnsi="Arial"/>
          <w:b w:val="0"/>
          <w:i w:val="0"/>
          <w:color w:val="1A1A1A"/>
          <w:sz w:val="17"/>
        </w:rPr>
        <w:t>Built local-first AI evaluation platform with automated data validation across 5 eval types (factuality, reasoning, instruction-following, safety, code generation); statistical rigor via bootstrap confidence intervals, Welch's t-test, and Cohen's d effect size — directly applicable to healthcare data completeness and reliability monitoring.</w:t>
      </w:r>
    </w:p>
    <w:p>
      <w:pPr>
        <w:spacing w:before="5" w:after="5"/>
        <w:ind w:left="360" w:hanging="200"/>
      </w:pPr>
      <w:r>
        <w:rPr>
          <w:rFonts w:ascii="Arial" w:hAnsi="Arial"/>
          <w:b w:val="0"/>
          <w:i w:val="0"/>
          <w:color w:val="1A1A1A"/>
          <w:sz w:val="17"/>
        </w:rPr>
        <w:t>•</w:t>
        <w:tab/>
      </w:r>
      <w:r>
        <w:rPr>
          <w:rFonts w:ascii="Arial" w:hAnsi="Arial"/>
          <w:b w:val="0"/>
          <w:i w:val="0"/>
          <w:color w:val="1A1A1A"/>
          <w:sz w:val="17"/>
        </w:rPr>
        <w:t>CI/CD integration with automated regression detection and safety gates; adversarial testing with refusal detection and data contamination detection via SHA-256 hashing. Stack: FastAPI orchestrator, TimescaleDB, Redis job queue, Next.js dashboard, Ollama.</w:t>
      </w:r>
    </w:p>
    <w:p>
      <w:pPr>
        <w:spacing w:before="50" w:after="5"/>
      </w:pPr>
      <w:r>
        <w:rPr>
          <w:rFonts w:ascii="Arial" w:hAnsi="Arial"/>
          <w:b/>
          <w:i w:val="0"/>
          <w:color w:val="1A1A1A"/>
          <w:sz w:val="17"/>
        </w:rPr>
        <w:t>RL Workbench — Post-Training RL Platform</w:t>
      </w:r>
      <w:r>
        <w:rPr>
          <w:rFonts w:ascii="Arial" w:hAnsi="Arial"/>
          <w:b w:val="0"/>
          <w:i w:val="0"/>
          <w:color w:val="888888"/>
          <w:sz w:val="15"/>
        </w:rPr>
        <w:t xml:space="preserve">  (2026)</w:t>
      </w:r>
    </w:p>
    <w:p>
      <w:pPr>
        <w:spacing w:before="5" w:after="5"/>
        <w:ind w:left="360" w:hanging="200"/>
      </w:pPr>
      <w:r>
        <w:rPr>
          <w:rFonts w:ascii="Arial" w:hAnsi="Arial"/>
          <w:b w:val="0"/>
          <w:i w:val="0"/>
          <w:color w:val="1A1A1A"/>
          <w:sz w:val="17"/>
        </w:rPr>
        <w:t>•</w:t>
        <w:tab/>
      </w:r>
      <w:r>
        <w:rPr>
          <w:rFonts w:ascii="Arial" w:hAnsi="Arial"/>
          <w:b w:val="0"/>
          <w:i w:val="0"/>
          <w:color w:val="1A1A1A"/>
          <w:sz w:val="17"/>
        </w:rPr>
        <w:t>Built 3-phase RL post-training workbench with standardized benchmarking across TRL, VeRL, OpenRLHF, and NeMo RL frameworks — establishing reusable evaluation patterns and cross-framework monitoring infrastructure.</w:t>
      </w:r>
    </w:p>
    <w:p>
      <w:pPr>
        <w:spacing w:before="50" w:after="5"/>
      </w:pPr>
      <w:r>
        <w:rPr>
          <w:rFonts w:ascii="Arial" w:hAnsi="Arial"/>
          <w:b/>
          <w:i w:val="0"/>
          <w:color w:val="1A1A1A"/>
          <w:sz w:val="17"/>
        </w:rPr>
        <w:t>BRAIN — Protein Structure Prediction ML Platform</w:t>
      </w:r>
      <w:r>
        <w:rPr>
          <w:rFonts w:ascii="Arial" w:hAnsi="Arial"/>
          <w:b w:val="0"/>
          <w:i w:val="0"/>
          <w:color w:val="888888"/>
          <w:sz w:val="15"/>
        </w:rPr>
        <w:t xml:space="preserve">  (UC Berkeley 2004; rewritten 2026)</w:t>
      </w:r>
    </w:p>
    <w:p>
      <w:pPr>
        <w:spacing w:before="5" w:after="5"/>
        <w:ind w:left="360" w:hanging="200"/>
      </w:pPr>
      <w:r>
        <w:rPr>
          <w:rFonts w:ascii="Arial" w:hAnsi="Arial"/>
          <w:b w:val="0"/>
          <w:i w:val="0"/>
          <w:color w:val="1A1A1A"/>
          <w:sz w:val="17"/>
        </w:rPr>
        <w:t>•</w:t>
        <w:tab/>
      </w:r>
      <w:r>
        <w:rPr>
          <w:rFonts w:ascii="Arial" w:hAnsi="Arial"/>
          <w:b w:val="0"/>
          <w:i w:val="0"/>
          <w:color w:val="1A1A1A"/>
          <w:sz w:val="17"/>
        </w:rPr>
        <w:t>NeurIPS 2014 published research; production ML platform in PyTorch with 5 neural architectures, MLflow experiment tracking, Optuna HPO, and FastAPI serving — 823 automated tests, Docker orchestration (6 containers).</w:t>
      </w:r>
    </w:p>
    <w:p>
      <w:pPr>
        <w:spacing w:before="110" w:after="20"/>
        <w:pBdr>
          <w:bottom w:val="single" w:sz="8" w:space="4" w:color="2B547E"/>
        </w:pBdr>
      </w:pPr>
      <w:r>
        <w:rPr>
          <w:rFonts w:ascii="Arial" w:hAnsi="Arial"/>
          <w:b/>
          <w:i w:val="0"/>
          <w:color w:val="2B547E"/>
          <w:sz w:val="19"/>
        </w:rPr>
        <w:t>EDUCATION</w:t>
      </w:r>
    </w:p>
    <w:p>
      <w:pPr>
        <w:spacing w:before="30"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30"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30"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10" w:after="20"/>
        <w:pBdr>
          <w:bottom w:val="single" w:sz="8" w:space="4" w:color="2B547E"/>
        </w:pBdr>
      </w:pPr>
      <w:r>
        <w:rPr>
          <w:rFonts w:ascii="Arial" w:hAnsi="Arial"/>
          <w:b/>
          <w:i w:val="0"/>
          <w:color w:val="2B547E"/>
          <w:sz w:val="19"/>
        </w:rPr>
        <w:t>TEACHING EXPERIENCE</w:t>
      </w:r>
    </w:p>
    <w:p>
      <w:pPr>
        <w:spacing w:before="60"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2"/>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CIS 35A/B, 36A/B — Java Programming; CIS 64C/64G — Introduction to PL/SQL; CIS 44F — Introduction to Data Analytics; CIS 64E — Fundamentals of Large Scale Cloud Computing (AWS, GCP); CIS 102 — Ethical Hacking; CIS 104 — Digital Forensics; CIS 95F — Managing Cloud Projects.</w:t>
      </w:r>
    </w:p>
    <w:p>
      <w:pPr>
        <w:spacing w:before="110" w:after="20"/>
        <w:pBdr>
          <w:bottom w:val="single" w:sz="8" w:space="4" w:color="2B547E"/>
        </w:pBdr>
      </w:pPr>
      <w:r>
        <w:rPr>
          <w:rFonts w:ascii="Arial" w:hAnsi="Arial"/>
          <w:b/>
          <w:i w:val="0"/>
          <w:color w:val="2B547E"/>
          <w:sz w:val="19"/>
        </w:rPr>
        <w:t>ADDITIONAL INFORMATION</w:t>
      </w:r>
    </w:p>
    <w:p>
      <w:pPr>
        <w:spacing w:before="5" w:after="5"/>
        <w:ind w:left="360" w:hanging="200"/>
      </w:pPr>
      <w:r>
        <w:rPr>
          <w:rFonts w:ascii="Arial" w:hAnsi="Arial"/>
          <w:b w:val="0"/>
          <w:i w:val="0"/>
          <w:color w:val="1A1A1A"/>
          <w:sz w:val="17"/>
        </w:rPr>
        <w:t>•</w:t>
        <w:tab/>
      </w:r>
      <w:r>
        <w:rPr>
          <w:rFonts w:ascii="Arial" w:hAnsi="Arial"/>
          <w:b w:val="0"/>
          <w:i w:val="0"/>
          <w:color w:val="1A1A1A"/>
          <w:sz w:val="17"/>
        </w:rPr>
        <w:t>FAA Commercial Drone License; FAA Private Pilot License (intended CFI)</w:t>
      </w:r>
    </w:p>
    <w:p>
      <w:pPr>
        <w:spacing w:before="5" w:after="5"/>
        <w:ind w:left="360" w:hanging="200"/>
      </w:pPr>
      <w:r>
        <w:rPr>
          <w:rFonts w:ascii="Arial" w:hAnsi="Arial"/>
          <w:b w:val="0"/>
          <w:i w:val="0"/>
          <w:color w:val="1A1A1A"/>
          <w:sz w:val="17"/>
        </w:rPr>
        <w:t>•</w:t>
        <w:tab/>
      </w:r>
      <w:r>
        <w:rPr>
          <w:rFonts w:ascii="Arial" w:hAnsi="Arial"/>
          <w:b w:val="0"/>
          <w:i w:val="0"/>
          <w:color w:val="1A1A1A"/>
          <w:sz w:val="17"/>
        </w:rPr>
        <w:t>O'Reilly &amp; OER Publications: Data Analytics and Managing Cloud Projects (forthcoming Summer 2026)</w:t>
      </w:r>
    </w:p>
    <w:p>
      <w:pPr>
        <w:spacing w:before="5" w:after="5"/>
        <w:ind w:left="360" w:hanging="200"/>
      </w:pPr>
      <w:r>
        <w:rPr>
          <w:rFonts w:ascii="Arial" w:hAnsi="Arial"/>
          <w:b w:val="0"/>
          <w:i w:val="0"/>
          <w:color w:val="1A1A1A"/>
          <w:sz w:val="17"/>
        </w:rPr>
        <w:t>•</w:t>
        <w:tab/>
      </w:r>
      <w:r>
        <w:rPr>
          <w:rFonts w:ascii="Arial" w:hAnsi="Arial"/>
          <w:b w:val="0"/>
          <w:i w:val="0"/>
          <w:color w:val="1A1A1A"/>
          <w:sz w:val="17"/>
        </w:rPr>
        <w:t>First Tee Assistant Golf Coach — San Francisco Chapter (2012–Present), Pittsburgh Chapter (2011–2012)</w:t>
      </w:r>
    </w:p>
    <w:p>
      <w:pPr>
        <w:spacing w:before="5" w:after="5"/>
        <w:ind w:left="360" w:hanging="200"/>
      </w:pPr>
      <w:r>
        <w:rPr>
          <w:rFonts w:ascii="Arial" w:hAnsi="Arial"/>
          <w:b w:val="0"/>
          <w:i w:val="0"/>
          <w:color w:val="1A1A1A"/>
          <w:sz w:val="17"/>
        </w:rPr>
        <w:t>•</w:t>
        <w:tab/>
      </w:r>
      <w:r>
        <w:rPr>
          <w:rFonts w:ascii="Arial" w:hAnsi="Arial"/>
          <w:b w:val="0"/>
          <w:i w:val="0"/>
          <w:color w:val="1A1A1A"/>
          <w:sz w:val="17"/>
        </w:rPr>
        <w:t>Interests: Classical &amp; Jazz Saxophone (Alto/Tenor/Baritone), Triathlon, Golf, Intramural Basketball &amp; Soccer</w:t>
      </w:r>
    </w:p>
    <w:sectPr w:rsidR="00FC693F" w:rsidRPr="0006063C" w:rsidSect="00034616">
      <w:pgSz w:w="12240" w:h="15840"/>
      <w:pgMar w:top="400" w:right="580" w:bottom="400" w:left="5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