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Staff PM with 12+ years shipping high-impact, user-facing products at enterprise scale — from search orchestration and developer platform infrastructure to 0→1 AI workspace products. Built intelligent context-aware AI experiences with multi-agent orchestration, RAG retrieval pipelines, and multi-provider LLM routing; deep product instincts around retrieval quality, precision/recall tradeoffs, permissions models, and user trust. Scaled Intuit's platform to 675M+ engagements across QuickBooks, TurboTax, and Mailchimp by translating distributed infrastructure complexity into cohesive, intuitive user experiences. NeurIPS published researcher; proven cross-functional leader who has influenced CTO-level decisions.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Platform &amp; AI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translating distributed infrastructure complexity (rSocket migration: 6K→50K TPS, ~1.5M concurrent connections, sub-25ms TP99) into scalable, intuitive user experiences.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— a 0→1 initiative in an ambiguous product area that established a cohesive user mental model across the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API, applying conceptual model thinking to unify asset relationships across 20+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telemetry (SQL, BigQuery) and developer feedback to inform strategic investment decisions presented to CTO — influencing senior leadership on platform direction.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program: authored Java JAR library to scan Git repos for configuration drift, partnered with Design on DevPortal UI, and built remediation roadmap — establishing product quality bars and trust in platform state.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Workspace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0→1 product strategy for an AI workspace platform integrating multi-agent orchestration (OpenClaw framework: gateway protocol, subagent delegation, profile management) with contextual AI experiences — enabling coordinated workflows across real estate, insurance, health/dental, and financial markets.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context-aware AI experiences using Claude (MCP SDK) for real-time screen analysis, Redfin/Zillow connector integrations for automated CMA reports, and Pine Script generation — building trusted, intelligent project context across third-party data sources with attention to connector reliability and freshness.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and shipped end-to-end permissions and auth pipeline (Kinde OAuth 2.0, Stripe tiered subscriptions, Electron SafeStorage) — applying product instincts around source boundaries, user trust, and secure credential 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components, Redux Toolkit state management, and native macOS/Linux support; shipped cross-platform builds with code signing/notarization and MCP server exposing screen capture tools to AI coding assistants.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Financial Intelligence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applying product instincts around retrieval quality, precision/recall tradeoffs, and freshness.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financial focal points, delivering context-aware advisory interactions with human-in-the-loop validation; executed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with deep focus on search relevance, retrieval quality, and distributed product architecture.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design partner (Assurance), building mirrored Enterprise topology for benchmark testing and achieving up to 10x performance improvements — establishing experimentation frameworks and learning goals for early rollout.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demoed at Splunk .conf19. Designed RICE-based prioritization framework across 3 microservice backlogs.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enterprise customers) and ITSI Application Monitoring-as-a-Service — managing permissions models, shared workspaces, and trust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and XC10 caching capability across the enterprise to address scalability, fault tolerance, and data freshness challenges;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— establishing product quality bars and user trust in enterprise software.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 — applying product instincts around trust, precision, recall, and human-in-the-loop safety gates.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A/B testing reward functions across 4 datasets, Playground for real TRL-powered GRPO/DPO training with live SSE metric streaming, and Arena for head-to-head framework benchmarking (TRL, VeRL, OpenRLHF, NeMo RL) — demonstrating deep model behavior reasoning across 12 RL algorithms.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neural networks for protein structure prediction. 2026 rewrite: production ML platform in PyTorch with 5 neural architectures, MLflow experiment tracking, Optuna HPO, and FastAPI serving — 413 to 8B parameters (19M-fold scale increase), 823 automated tests, Docker orchestration.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