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Consumer AI product leader with 12+ years building emotionally engaging, 0→1 experiences — from founding two AI consumer platforms (Streamio AI, Fintellect AI) to scaling Intuit's platform to 675M+ engagements. Deep intuition for translating frontier model capabilities into polished, interactive products that drive sustained session depth and user delight. NeurIPS-published AI researcher fluent enough in RL, LLM orchestration, and multi-agent systems to push research teams with the right questions. UC Berkeley engineering + Tepper MBA.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0→1 consumer AI platform end-to-end — Electron + React + TypeScript desktop app with 100+ components — delivering real-time AI analysis via Claude (MCP SDK) and enabling contextual, character-like conversations, Pine Script generation, and automated real estate advisory; shipped cross-platform (macOS DMG, Linux .deb, iOS React Native/Expo) with full auth (Kinde OAuth 2.0), payments (Stripe), and go-to-market execution.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agent workflows across real estate, insurance, health/dental, and financial markets, each agent scoped to a distinct persona and interaction context.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pipeline: multi-stream canvas compositing (up to 9 concurrent sources at 30fps), FFmpeg transcoding, WebSocket layer, and local HTTP playback server — translating new model capabilities into a live, interactive broadcast experience.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interviews and iterative product refinement, continuously sharpening emotional resonance and session depth based on direct user feedback.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Integrated ElevenLabs TTS/STT with 6 auto-classified voice profiles — adding a layer of character expressiveness and personality to AI interactions.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mobile-first consumer AI platform with domain-specific Fintellect Agents — conversational AI characters each scoped to distinct financial focal points, delivering guided, context-aware advisory interactions that keep users engaged across investing journeys.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 and multi-provider LLM orchestration (Claude, GPT-4, Gemini) with fallback routing — translating frontier model capabilities into reliable, polished consumer experiences; launched on App Store.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efforts, refining the platform based on trader feedback and establishing partnerships with industry influencers to grow the creator and content ecosystem.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Platform &amp; Consumer Engagement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 — sustained engagement depth at consumer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 0→1, reducing developer onboarding from 2–3 weeks to minutes and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prioritize user pain points across ~20 mobile apps and 30+ product SKUs; partnered with data science to measure engagement depth and product quality.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TP99; led Mailchimp GCP-to-AWS migration for MSaaS.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0→1 in ~4 months (June–Oct 2019), enabling scheduled search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for beta customer, achieving up to 10x improvements; designed RICE-based prioritization framework balancing internal, third-party, and Fortune 500 requirements across 3 microservice backlogs.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customers) and ITSI Application Monitoring-as-a-Service; built Redis/XC10 caching capability for scalability and fault tolerance.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products; improved case resolution time by 20% across the Support Organization through cross-functional root cause analysis.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measuring AI product quality across 5 eval types (factuality, reasoning, instruction-following, safety, code generation) with adversarial safety testing, bootstrap confidence intervals, and automated regression detection — directly applicable to measuring engagement depth and model output quality in consumer AI products.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 across 4 datasets, Playground for real TRL-powered GRPO/DPO training with live SSE metric streaming, and Arena for head-to-head framework benchmarking (TRL, VeRL, OpenRLHF, NeMo RL).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KTO, ORPO, and more) — enabling peer-level partnership with AI research teams to identify opportunities from new model capabilities.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original 2004 system hand-coded in C++ with custom BPTT; 2026 rewrite spans 413 to 8B parameters across 5 neural architectures (feedforward, GRU, Transformer, ESM-2, multi-task) with MLflow, Optuna HPO, and FastAPI serving.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Deep Learning Education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60 interactive demos across 20 chapters covering Goodfellow's Deep Learning textbook — transformers, GANs, diffusion models, autoencoders, optimization; demonstrates design sensibility and commitment to intuitive, engaging user experiences.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