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center"/>
      </w:pPr>
      <w:r>
        <w:rPr>
          <w:rFonts w:ascii="Arial" w:hAnsi="Arial"/>
          <w:b/>
          <w:i w:val="0"/>
          <w:color w:val="1A1A1A"/>
          <w:sz w:val="26"/>
        </w:rPr>
        <w:t>O. FELIX AMORUWA</w:t>
      </w:r>
    </w:p>
    <w:p>
      <w:pPr>
        <w:spacing w:before="0" w:after="10"/>
        <w:jc w:val="center"/>
      </w:pPr>
      <w:r>
        <w:rPr>
          <w:rFonts w:ascii="Arial" w:hAnsi="Arial"/>
          <w:b w:val="0"/>
          <w:i w:val="0"/>
          <w:color w:val="555555"/>
          <w:sz w:val="16"/>
        </w:rPr>
        <w:t xml:space="preserve">famoruwa@berkeley.edu  |  909-731-9011  |  </w:t>
      </w:r>
      <w:hyperlink r:id="rId9">
        <w:r>
          <w:rPr>
            <w:rFonts w:ascii="Arial" w:hAnsi="Arial"/>
            <w:sz w:val="16"/>
            <w:color w:val="2B547E"/>
            <w:u w:val="single"/>
          </w:rPr>
          <w:t xml:space="preserve">felixamoruwa.info</w:t>
        </w:r>
      </w:hyperlink>
    </w:p>
    <w:p>
      <w:pPr>
        <w:spacing w:before="55" w:after="55"/>
      </w:pPr>
      <w:r>
        <w:rPr>
          <w:rFonts w:ascii="Arial" w:hAnsi="Arial"/>
          <w:b w:val="0"/>
          <w:i w:val="0"/>
          <w:color w:val="555555"/>
          <w:sz w:val="16"/>
        </w:rPr>
        <w:t>Staff Product Manager with 12+ years driving full-funnel growth across consumer mobile and enterprise platforms — including 275% YoY engagement growth scaling to 675M+ annual engagements at Intuit, and $480K/month incremental revenue from a single activation feature. Proven at serving two customers at once: the individual user and the organization that pays, with experience designing onboarding, activation, and engagement loops that convert first-time users into durable habits. Built and launched 0-to-1 consumer mobile products with self-serve enrollment, partner integrations, and go-to-market execution. Carnegie Mellon MBA; UC Berkeley BS, Computational Engineering.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PROFESSIONAL EXPERIENCE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INTUIT</w:t>
      </w:r>
      <w:r>
        <w:rPr>
          <w:rFonts w:ascii="Arial" w:hAnsi="Arial"/>
          <w:b w:val="0"/>
          <w:i w:val="0"/>
          <w:color w:val="888888"/>
          <w:sz w:val="15"/>
        </w:rPr>
        <w:t xml:space="preserve">  |  Mountain View,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Staff Product Manager — Growth, Platform &amp; Developer Activation</w:t>
      </w:r>
      <w:r>
        <w:rPr>
          <w:rFonts w:ascii="Arial" w:hAnsi="Arial"/>
          <w:b w:val="0"/>
          <w:i w:val="0"/>
          <w:color w:val="888888"/>
          <w:sz w:val="15"/>
        </w:rPr>
        <w:t xml:space="preserve">    06/21 – 09/24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Drove 275% YoY growth in ICE platform engagements, scaling to 675M+ in FY23 across QuickBooks, TurboTax, Mint, Mailchimp, and Credit Karma — set the north-star engagement metric and segment-level targets that anchored team prioritization.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Architected the activation funnel for ICE Self-Service (DevPortal, GitOps config, ICE Playground), collapsing onboarding time from 2–3 weeks to minutes in pre-prod and &lt;24 hours for production — eliminating drop-off across enrollment and early lifecycle while mitigating $1M+ in projected opex growth.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Implemented ICE Presence in async chat, generating $480K/month in incremental revenue; deployed Background-to-Foreground Messaging on iOS/Android with &lt;100ms latency — demonstrating that activation and engagement loops compound into durable revenue.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Served dual customers simultaneously — individual developers (self-serve enrollment, SDK onboarding) and product org stakeholders (roadmap alignment, capacity planning) — balancing consumer growth tactics with B2B2C platform motions across 30+ product SKUs.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Used SQL and BigQuery telemetry to instrument the funnel, identify drop-off, and prioritize developer pain points across ~20 mobile apps; built Asterias, a declarative asset lifecycle management platform with GraphQL API, to operationalize data-driven decisions.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Scaled platform throughput from 6K to 50K TPS via rSocket migration supporting ~1.5M concurrent connections with sub-25ms TP99 — enabling the engagement volume growth without reliability degradation.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Mailchimp GCP-to-AWS migration for MSaaS and initiated Drift Detection program (Java JAR library scanning Git repos), partnering cross-functionally with Design, Engineering, and Security to ship on deadline. DeveloperWeek 2022 speaker.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STREAMIO AI</w:t>
      </w:r>
      <w:r>
        <w:rPr>
          <w:rFonts w:ascii="Arial" w:hAnsi="Arial"/>
          <w:b w:val="0"/>
          <w:i w:val="0"/>
          <w:color w:val="888888"/>
          <w:sz w:val="15"/>
        </w:rPr>
        <w:t xml:space="preserve">  |  Oakland,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Founder &amp; CEO — Consumer Mobile &amp; AI Platform (macOS, Linux, iOS &amp; Web)</w:t>
      </w:r>
      <w:r>
        <w:rPr>
          <w:rFonts w:ascii="Arial" w:hAnsi="Arial"/>
          <w:b w:val="0"/>
          <w:i w:val="0"/>
          <w:color w:val="888888"/>
          <w:sz w:val="15"/>
        </w:rPr>
        <w:t xml:space="preserve">    09/24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Defined full-funnel go-to-market strategy and led customer discovery interviews to identify acquisition channels, refine onboarding flows, and validate product-market fit across real estate, insurance, and financial markets verticals.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end-to-end self-serve enrollment and payments pipeline — Kinde OAuth 2.0, Stripe tiered subscriptions, and Electron SafeStorage — enabling frictionless signup-to-first-value for individual users and team accounts.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Shipped production Electron + React + TypeScript desktop application with 100+ components and native macOS/Linux support, providing real-time AI analysis via Claude (MCP SDK) — demonstrating 0-to-1 consumer mobile product ownership from strategy through launch.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Implemented OpenClaw multi-agent orchestration framework with gateway protocol and subagent delegation, enabling coordinated AI workflows across multiple industry verticals — productizing integrations so each new partner compounds rather than starts from zero.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FINTELLECT AI</w:t>
      </w:r>
      <w:r>
        <w:rPr>
          <w:rFonts w:ascii="Arial" w:hAnsi="Arial"/>
          <w:b w:val="0"/>
          <w:i w:val="0"/>
          <w:color w:val="888888"/>
          <w:sz w:val="15"/>
        </w:rPr>
        <w:t xml:space="preserve">  |  Oakland,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Founder &amp; CEO — Consumer Mobile Fintech Platform (iOS/Android/Web)</w:t>
      </w:r>
      <w:r>
        <w:rPr>
          <w:rFonts w:ascii="Arial" w:hAnsi="Arial"/>
          <w:b w:val="0"/>
          <w:i w:val="0"/>
          <w:color w:val="888888"/>
          <w:sz w:val="15"/>
        </w:rPr>
        <w:t xml:space="preserve">    09/24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Owned acquisition, activation, and engagement strategy for a dual-audience consumer mobile product — individual retail investors and institutional partners — executing App Store launch and influencer partnership go-to-market.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Ran customer discovery with trader cohorts to identify drop-off in the early lifecycle, iterating onboarding and first-value flows to improve activation; established partnerships with industry influencers as an organic acquisition channel.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AI-powered financial analysis tools and domain-specific conversational agents delivering context-aware, guided interactions — designing engagement loops intended to build frequency and make the platform the default for investment decisions.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SPLUNK INC.</w:t>
      </w:r>
      <w:r>
        <w:rPr>
          <w:rFonts w:ascii="Arial" w:hAnsi="Arial"/>
          <w:b w:val="0"/>
          <w:i w:val="0"/>
          <w:color w:val="888888"/>
          <w:sz w:val="15"/>
        </w:rPr>
        <w:t xml:space="preserve">  |  San Francisco,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Senior Product Manager — Search Orchestration</w:t>
      </w:r>
      <w:r>
        <w:rPr>
          <w:rFonts w:ascii="Arial" w:hAnsi="Arial"/>
          <w:b w:val="0"/>
          <w:i w:val="0"/>
          <w:color w:val="888888"/>
          <w:sz w:val="15"/>
        </w:rPr>
        <w:t xml:space="preserve">    01/19 – 01/21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Delivered Scheduler Service end-to-end in ~4 months, enabling scheduled search for first-party applications and demoed at Splunk .conf19; led query performance optimization achieving up to 10x improvement for a Fortune 500 beta customer.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Designed RICE-based prioritization framework across 3 microservice backlogs, balancing internal partner, third-party developer, and enterprise customer requirements — setting the experimentation and prioritization bar for the team. Splunk .conf18 Speaker.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KAISER PERMANENTE</w:t>
      </w:r>
      <w:r>
        <w:rPr>
          <w:rFonts w:ascii="Arial" w:hAnsi="Arial"/>
          <w:b w:val="0"/>
          <w:i w:val="0"/>
          <w:color w:val="888888"/>
          <w:sz w:val="15"/>
        </w:rPr>
        <w:t xml:space="preserve">  |  Pleasanton,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SOA Technical Product Manager</w:t>
      </w:r>
      <w:r>
        <w:rPr>
          <w:rFonts w:ascii="Arial" w:hAnsi="Arial"/>
          <w:b w:val="0"/>
          <w:i w:val="0"/>
          <w:color w:val="888888"/>
          <w:sz w:val="15"/>
        </w:rPr>
        <w:t xml:space="preserve">    08/12 – 12/18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enterprise rollout of Splunk Logging-as-a-Service (1.7 TB daily volume) to 200+ internal enterprise customers — owning the acquisition and onboarding motion for a managed platform serving a large, distributed organizational customer base.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Redis/XC10 caching capability enterprise-wide; led demand forecasting and capacity planning across multiple datacenters to sustain engagement growth.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IBM</w:t>
      </w:r>
      <w:r>
        <w:rPr>
          <w:rFonts w:ascii="Arial" w:hAnsi="Arial"/>
          <w:b w:val="0"/>
          <w:i w:val="0"/>
          <w:color w:val="888888"/>
          <w:sz w:val="15"/>
        </w:rPr>
        <w:t xml:space="preserve">  |  Pittsburgh, PA / Foster City, CA / RTP, NC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Software Engineer — Business Intelligence Products</w:t>
      </w:r>
      <w:r>
        <w:rPr>
          <w:rFonts w:ascii="Arial" w:hAnsi="Arial"/>
          <w:b w:val="0"/>
          <w:i w:val="0"/>
          <w:color w:val="888888"/>
          <w:sz w:val="15"/>
        </w:rPr>
        <w:t xml:space="preserve">    07/05 – 03/10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Resolved multiple $1–5M high-severity customer escalations for enterprise BI products; improved case resolution time by 20% across the Support Organization through cross-functional root cause analysis.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BANK OF AMERICA MERRILL LYNCH</w:t>
      </w:r>
      <w:r>
        <w:rPr>
          <w:rFonts w:ascii="Arial" w:hAnsi="Arial"/>
          <w:b w:val="0"/>
          <w:i w:val="0"/>
          <w:color w:val="888888"/>
          <w:sz w:val="15"/>
        </w:rPr>
        <w:t xml:space="preserve">  |  Charlotte, NC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Tech MBA Summer Associate — Global Corporate &amp; Investment Banking T&amp;O</w:t>
      </w:r>
      <w:r>
        <w:rPr>
          <w:rFonts w:ascii="Arial" w:hAnsi="Arial"/>
          <w:b w:val="0"/>
          <w:i w:val="0"/>
          <w:color w:val="888888"/>
          <w:sz w:val="15"/>
        </w:rPr>
        <w:t xml:space="preserve">    06/11 – 08/11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Developed Monte Carlo simulation model to optimize DMAIC phase distribution across a $494M portfolio — demonstrating quantitative rigor applied to large-scale business decision-making.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EDUCATION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CARNEGIE MELLON UNIVERSITY, SILICON VALLEY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Master of Science — Software Management</w:t>
      </w:r>
      <w:r>
        <w:rPr>
          <w:rFonts w:ascii="Arial" w:hAnsi="Arial"/>
          <w:b w:val="0"/>
          <w:i w:val="0"/>
          <w:color w:val="888888"/>
          <w:sz w:val="15"/>
        </w:rPr>
        <w:t xml:space="preserve">    Mountain View, CA (08/16)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CARNEGIE MELLON, TEPPER SCHOOL OF BUSINESS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Master of Business Administration — Concentrations: Finance, Quantitative Analysis, Economics</w:t>
      </w:r>
      <w:r>
        <w:rPr>
          <w:rFonts w:ascii="Arial" w:hAnsi="Arial"/>
          <w:b w:val="0"/>
          <w:i w:val="0"/>
          <w:color w:val="888888"/>
          <w:sz w:val="15"/>
        </w:rPr>
        <w:t xml:space="preserve">    Pittsburgh, PA (03/12)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UC BERKELEY, COLLEGE OF ENGINEERING &amp; HAAS SCHOOL OF BUSINESS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Bachelor of Science — Computational Engineering Science</w:t>
      </w:r>
      <w:r>
        <w:rPr>
          <w:rFonts w:ascii="Arial" w:hAnsi="Arial"/>
          <w:b w:val="0"/>
          <w:i w:val="0"/>
          <w:color w:val="888888"/>
          <w:sz w:val="15"/>
        </w:rPr>
        <w:t xml:space="preserve">    Berkeley, CA (12/05)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Certificate — Corporate Finance for Financial Engineering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AI/ML RESEARCH &amp; PROJECTS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aeval — AI Model Evaluation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(2025–2026)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local-first evaluation platform with 5 core eval types, adversarial safety testing, bootstrap confidence intervals, Welch's t-test, Cohen's d effect size, and CI/CD regression detection — demonstrating experimentation rigor and statistical discipline. Stack: FastAPI, TimescaleDB, Redis, Next.js, Ollama.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RL Workbench — Post-Training RL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3-phase RL post-training workbench benchmarking GRPO/DPO across TRL, VeRL, OpenRLHF, and NeMo RL; implemented 12 RL algorithms with standardized throughput/memory/convergence benchmarking and cross-tab workflow lineage tracking.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BRAIN — Protein Structure Prediction ML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(UC Berkeley 2004; rewritten 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Production ML platform in PyTorch with 5 neural architectures, MLflow experiment tracking, Optuna HPO, and FastAPI serving; original 2004 system hand-coded in C++ with custom BPTT. NeurIPS 2014 accepted paper.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TEACHING EXPERIENCE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DE ANZA COLLEGE</w:t>
      </w:r>
      <w:r>
        <w:rPr>
          <w:rFonts w:ascii="Arial" w:hAnsi="Arial"/>
          <w:b w:val="0"/>
          <w:i w:val="0"/>
          <w:color w:val="888888"/>
          <w:sz w:val="15"/>
        </w:rPr>
        <w:t xml:space="preserve">  |  Cupertino,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Adjunct Faculty — Computer Information Systems Department</w:t>
      </w:r>
      <w:r>
        <w:rPr>
          <w:rFonts w:ascii="Arial" w:hAnsi="Arial"/>
          <w:b w:val="0"/>
          <w:i w:val="0"/>
          <w:color w:val="888888"/>
          <w:sz w:val="15"/>
        </w:rPr>
        <w:t xml:space="preserve">    04/18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Java Programming, PL/SQL, Data Analytics, Large Scale Cloud Computing (AWS, GCP), Ethical Hacking, Digital Forensics, Managing Cloud Projects.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ADDITIONAL INFORMATION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FAA Commercial Drone License; FAA Private Pilot License (intended CFI)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O'Reilly &amp; OER Publications: Data Analytics and Managing Cloud Projects (forthcoming Summer 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First Tee Assistant Golf Coach — San Francisco Chapter (2012–Present), Pittsburgh Chapter (2011–2012)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Interests: Classical &amp; Jazz Saxophone (Alto/Tenor/Baritone), Triathlon, Golf, Intramural Basketball &amp; Soccer</w:t>
      </w:r>
    </w:p>
    <w:sectPr w:rsidR="00FC693F" w:rsidRPr="0006063C" w:rsidSect="00034616">
      <w:pgSz w:w="12240" w:h="15840"/>
      <w:pgMar w:top="400" w:right="560" w:bottom="380" w:left="5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felixamoruwa.inf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