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owning platform-level infrastructure, developer tooling, and enterprise-grade foundations at scale — including authentication, access controls, data governance, and multi-cloud architecture. At Intuit, scaled a platform to 675M+ engagements and 50K TPS while driving developer onboarding from weeks to minutes; used BigQuery/SQL telemetry to prioritize across 30+ product SKUs. Deep experience translating complex infrastructure constraints into clear product decisions for Fortune 500 customers, shipping foundational capabilities that unblock high-ARR deals, and leading design system and SDK roadmaps that accelerate developer velocity.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mitigating $1M+ in projected opex growth and accelerating developer velocity across the enterprise.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enabling developers to go from zero to production-ready microservice in minutes; led design system alignment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developer pain points and platform investments; built Asterias, a declarative asset lifecycle management platform with GraphQL API, improving auditability and scalability of platform-wide asset governance.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inform strategic investment decisions presented to CTO — demonstrating ability to translate complex technical constraints into executive-level product decisions.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service template, MySQL persistence integration, and updated DevPortal documentation; initiated MSaaS Drift Detection and Resolution program using a Java JAR library to scan Git repos for configuration drift and built remediation roadmap using OpenRewrite.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Platform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defined product roadmaps, PRDs, and acceptance criteria for Splunk Cloud Services (SCS), a multi-tenant cloud platform serving Fortune 500 customers.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enterprise beta customer (Assurance), building mirrored topology for benchmark testing and achieving up to 10x performance improvements — directly unblocking a high-ARR customer deployment.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demoed at Splunk .conf19. Designed repeatable RICE-based prioritization framework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 — Enterprise Platform &amp;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delivering audit-ready, enterprise-grade observability foundations across the organization.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challenges; led demand forecasting and capacity planning across multiple datacenters, establishing multi-region infrastructure strategy for the SOA product suite.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OAuth 2.0 (Kinde) authentication with tiered Stripe subscription entitlements and Electron SafeStorage for secure credential management — end-to-end auth and access control pipeline for a multi-platform production application.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OpenClaw multi-agent orchestration framework with gateway protocol, subagent delegation, and session management — enabling coordinated AI agent workflows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desktop builds (macOS DMG with code signing/notarization, Linux .deb) with native macOS ScreenCaptureKit integration via Swift and MCP server exposing screen capture tools to AI coding assistants.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delivering data governance and reporting capabilities for a regulated fintech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for asset class selection and risk management; led customer discovery and go-to-market execution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 products;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 with refusal detection, and data contamination detection via SHA-256 hashing. Stack: FastAPI orchestrator, TimescaleDB, Redis job queue, Next.js dashboard, Ollama — demonstrating data warehouse and ETL pipeline design for governance-grade analytics.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Lab, Playground (real TRL-powered GRPO/DPO training with live SSE metric streaming),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with standardized throughput/memory/convergence benchmarking and cross-tab workflow lineage tracking.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architectures, MLflow experiment tracking, Optuna HPO, and FastAPI serving — 823 automated tests, Docker orchestration (6 containers).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