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1A1A1A"/>
          <w:sz w:val="26"/>
        </w:rPr>
        <w:t>O. FELIX AMORUWA</w:t>
      </w:r>
    </w:p>
    <w:p>
      <w:pPr>
        <w:spacing w:before="0" w:after="1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famoruwa@berkeley.edu  |  909-731-9011  |  </w:t>
      </w:r>
      <w:hyperlink r:id="rId9">
        <w:r>
          <w:rPr>
            <w:rFonts w:ascii="Arial" w:hAnsi="Arial"/>
            <w:sz w:val="16"/>
            <w:color w:val="2B547E"/>
            <w:u w:val="single"/>
          </w:rPr>
          <w:t xml:space="preserve">felixamoruwa.info</w:t>
        </w:r>
      </w:hyperlink>
    </w:p>
    <w:p>
      <w:pPr>
        <w:spacing w:before="60" w:after="60"/>
      </w:pPr>
      <w:r>
        <w:rPr>
          <w:rFonts w:ascii="Arial" w:hAnsi="Arial"/>
          <w:b w:val="0"/>
          <w:i w:val="0"/>
          <w:color w:val="555555"/>
          <w:sz w:val="16"/>
        </w:rPr>
        <w:t>Senior Technical Product Manager with 12+ years owning data platforms and multi-stakeholder roadmaps at enterprise scale — including scaling a platform infrastructure to 675M+ engagements and 50K TPS at Intuit, and architecting signal ingestion, normalization, and taxonomy systems across AI and data products. Proven track record setting platform vision, driving cross-functional alignment across engineering, data science, GTM, and commercial partners, and shipping durable infrastructure that serves both technical and commercial needs. NeurIPS published researcher; deep fluency in API design, data governance frameworks, and translating complex data capabilities into advertiser-facing value propositions.</w:t>
      </w:r>
    </w:p>
    <w:p>
      <w:pPr>
        <w:spacing w:before="110" w:after="20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PROFESSIONAL EXPERIENCE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INTUIT</w:t>
      </w:r>
      <w:r>
        <w:rPr>
          <w:rFonts w:ascii="Arial" w:hAnsi="Arial"/>
          <w:b w:val="0"/>
          <w:i w:val="0"/>
          <w:color w:val="888888"/>
          <w:sz w:val="15"/>
        </w:rPr>
        <w:t xml:space="preserve">  |  Mountain View,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Staff Product Manager — Developer Frameworks &amp; Platform Infrastructure</w:t>
      </w:r>
      <w:r>
        <w:rPr>
          <w:rFonts w:ascii="Arial" w:hAnsi="Arial"/>
          <w:b w:val="0"/>
          <w:i w:val="0"/>
          <w:color w:val="888888"/>
          <w:sz w:val="15"/>
        </w:rPr>
        <w:t xml:space="preserve">    06/21 – 09/24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Achieved 275% YoY growth in platform engagements, scaling to 675M+ in FY23 across QuickBooks, TurboTax, Mint, Mailchimp, and Credit Karma; scaled throughput from 6K to 50K TPS via rSocket migration supporting ~1.5M concurrent connections with sub-25ms TP99 — demonstrating platform infrastructure built to scale with the business.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Built Asterias, a declarative asset lifecycle management platform with GraphQL API, establishing data taxonomy and signal classification standards across 20+ mobile apps and 30+ product SKUs; used SQL and BigQuery telemetry to surface usage signals and drive prioritization decisions.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Delivered ICE Self-Service platform (DevPortal, GitOps config, ICE Playground) reducing developer onboarding from 2–3 weeks to minutes — a UX-led workflow that made sophisticated platform data accessible and actionable for internal partners.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Conducted enterprise-wide Service Language Assessment across 9 languages, analyzing usage data and developer feedback to inform strategic investment decisions presented to CTO — executive-level communication across a large, matrixed organization.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Initiated MSaaS Drift Detection and Resolution program: authored Java JAR library to scan Git repos for configuration drift, partnered with Design on DevPortal UI, and built remediation roadmap using OpenRewrite — establishing governance frameworks for data quality and platform compliance.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Implemented ICE Presence in async chat, generating $480K/month in additional invoicing; deployed Background-to-Foreground Messaging on iOS/Android with &lt;100ms latency. DeveloperWeek 2022 speaker.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FINTELLECT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Founder &amp; CEO — fintellectai.io (iOS/Android/Web)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Architected RAG retrieval pipeline with ChromaDB vector store, multi-provider LLM orchestration (Claude, GPT-4, Gemini) with fallback routing, structured output validation, and token budget optimization — a signal ingestion and normalization architecture serving real-time audience-facing experiences.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Designed domain-specific Fintellect Agents scoped to distinct financial focal points, establishing a contextual signal taxonomy that powers context-aware advisory interactions across mobile and web.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Built AI-powered charting and macroeconomic analysis tools for asset class selection, execution planning, and risk management — activating contextual signals to drive campaign-level outcomes for retail investors.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Led customer discovery, GTM execution through App Store launch, and partnerships with industry influencers — translating market demand into durable platform capabilities.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STREAMIO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Founder &amp; CEO — streamio.ai (macOS, Linux, iOS &amp; Web)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Implemented OpenClaw multi-agent orchestration framework with gateway protocol, subagent delegation, profile management, and session switching — enabling coordinated AI workflows across real estate, insurance, health/dental, and financial markets verticals.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Led 0-to-1 product strategy, platform architecture, and go-to-market execution across a multi-platform product (macOS, Linux, iOS, Web), driving from concept through production deployment with iterative customer discovery.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SPLUNK INC.</w:t>
      </w:r>
      <w:r>
        <w:rPr>
          <w:rFonts w:ascii="Arial" w:hAnsi="Arial"/>
          <w:b w:val="0"/>
          <w:i w:val="0"/>
          <w:color w:val="888888"/>
          <w:sz w:val="15"/>
        </w:rPr>
        <w:t xml:space="preserve">  |  San Francisco,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Senior Product Manager — Search Orchestration</w:t>
      </w:r>
      <w:r>
        <w:rPr>
          <w:rFonts w:ascii="Arial" w:hAnsi="Arial"/>
          <w:b w:val="0"/>
          <w:i w:val="0"/>
          <w:color w:val="888888"/>
          <w:sz w:val="15"/>
        </w:rPr>
        <w:t xml:space="preserve">    01/19 – 01/21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Owned Search Service (Go microservices), Search Catalog (PostgreSQL metadata service), and Splunk Processing Language (SPL/SPL2) — setting platform vision and delivering roadmaps for Splunk Cloud Services (SCS) serving Fortune 500 enterprise customers.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Led query performance optimization initiative for beta customer (Assurance), building mirrored Enterprise topology for benchmark testing and achieving up to 10x performance improvements — measurable platform impact driven by signal quality and data architecture decisions.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Designed repeatable RICE-based prioritization framework for 3 microservice backlogs, balancing internal partner, third-party developer, and enterprise customer requirements. Splunk .conf18 Speaker.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KAISER PERMANENTE</w:t>
      </w:r>
      <w:r>
        <w:rPr>
          <w:rFonts w:ascii="Arial" w:hAnsi="Arial"/>
          <w:b w:val="0"/>
          <w:i w:val="0"/>
          <w:color w:val="888888"/>
          <w:sz w:val="15"/>
        </w:rPr>
        <w:t xml:space="preserve">  |  Pleasanton,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SOA Technical Product Manager</w:t>
      </w:r>
      <w:r>
        <w:rPr>
          <w:rFonts w:ascii="Arial" w:hAnsi="Arial"/>
          <w:b w:val="0"/>
          <w:i w:val="0"/>
          <w:color w:val="888888"/>
          <w:sz w:val="15"/>
        </w:rPr>
        <w:t xml:space="preserve">    08/12 – 12/18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Led development and enterprise rollout of Splunk Logging-as-a-Service (1.7 TB daily volume, 200+ internal enterprise customers) — data platform at scale with governance standards for signal quality and data reliability.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Built caching capability using Redis and XC10 across the enterprise to address scalability, fault tolerance, and data redundancy; led demand forecasting and capacity planning across multiple datacenters.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IBM</w:t>
      </w:r>
      <w:r>
        <w:rPr>
          <w:rFonts w:ascii="Arial" w:hAnsi="Arial"/>
          <w:b w:val="0"/>
          <w:i w:val="0"/>
          <w:color w:val="888888"/>
          <w:sz w:val="15"/>
        </w:rPr>
        <w:t xml:space="preserve">  |  Pittsburgh, PA / Foster City, CA / RTP, NC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Software Engineer — Business Intelligence Products</w:t>
      </w:r>
      <w:r>
        <w:rPr>
          <w:rFonts w:ascii="Arial" w:hAnsi="Arial"/>
          <w:b w:val="0"/>
          <w:i w:val="0"/>
          <w:color w:val="888888"/>
          <w:sz w:val="15"/>
        </w:rPr>
        <w:t xml:space="preserve">    07/05 – 03/10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Resolved multiple $1–5M high-severity escalations for enterprise BI software products; led cross-functional root cause analysis and customer-facing resolution, improving case resolution time by 20% across the Support Organization.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BANK OF AMERICA MERRILL LYNCH</w:t>
      </w:r>
      <w:r>
        <w:rPr>
          <w:rFonts w:ascii="Arial" w:hAnsi="Arial"/>
          <w:b w:val="0"/>
          <w:i w:val="0"/>
          <w:color w:val="888888"/>
          <w:sz w:val="15"/>
        </w:rPr>
        <w:t xml:space="preserve">  |  Charlotte, NC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Tech MBA Summer Associate — Global Corporate &amp; Investment Banking T&amp;O</w:t>
      </w:r>
      <w:r>
        <w:rPr>
          <w:rFonts w:ascii="Arial" w:hAnsi="Arial"/>
          <w:b w:val="0"/>
          <w:i w:val="0"/>
          <w:color w:val="888888"/>
          <w:sz w:val="15"/>
        </w:rPr>
        <w:t xml:space="preserve">    06/11 – 08/11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Developed enhanced estimation model using Monte Carlo simulation to optimize DMAIC phase distribution across a $494M portfolio in Global Technology &amp; Operations — quantitative commercial analysis informing large-scale investment planning.</w:t>
      </w:r>
    </w:p>
    <w:p>
      <w:pPr>
        <w:spacing w:before="110" w:after="20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AI/ML RESEARCH &amp; PROJECTS</w:t>
      </w:r>
    </w:p>
    <w:p>
      <w:pPr>
        <w:spacing w:before="50" w:after="5"/>
      </w:pPr>
      <w:r>
        <w:rPr>
          <w:rFonts w:ascii="Arial" w:hAnsi="Arial"/>
          <w:b/>
          <w:i w:val="0"/>
          <w:color w:val="1A1A1A"/>
          <w:sz w:val="17"/>
        </w:rPr>
        <w:t>aeval — AI Model Evaluation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(2025–2026)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Built local-first evaluation platform with 5 core eval types (factuality, reasoning, instruction-following, safety, code generation), adversarial safety testing with refusal detection, and data contamination detection — establishing governance frameworks for signal quality, classification standards, and automated safety gates analogous to ad targeting compliance pipelines.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Statistical rigor: bootstrap confidence intervals, Welch's t-test, Cohen's d effect size, saturation detection; CI/CD integration with regression detection. Stack: FastAPI orchestrator, TimescaleDB, Redis job queue, Next.js dashboard, Ollama.</w:t>
      </w:r>
    </w:p>
    <w:p>
      <w:pPr>
        <w:spacing w:before="50" w:after="5"/>
      </w:pPr>
      <w:r>
        <w:rPr>
          <w:rFonts w:ascii="Arial" w:hAnsi="Arial"/>
          <w:b/>
          <w:i w:val="0"/>
          <w:color w:val="1A1A1A"/>
          <w:sz w:val="17"/>
        </w:rPr>
        <w:t>RL Workbench — Post-Training RL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(2026)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Built 3-phase RL post-training workbench covering the full RLHF/DPO pipeline with cross-tab workflow lineage tracking and standardized throughput/memory/convergence benchmarking across 4 frameworks (TRL, VeRL, OpenRLHF, NeMo RL) — a signal normalization and taxonomy design exercise at algorithm scale.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Implemented 12 RL algorithms (PPO, GRPO, DAPO, REINFORCE, DPO, SimPO, IPO, KTO, ORPO, SPPO, RLOO, REINFORCE++) with algorithm-specific metric profiles and GPU passthrough in Docker containers.</w:t>
      </w:r>
    </w:p>
    <w:p>
      <w:pPr>
        <w:spacing w:before="50" w:after="5"/>
      </w:pPr>
      <w:r>
        <w:rPr>
          <w:rFonts w:ascii="Arial" w:hAnsi="Arial"/>
          <w:b/>
          <w:i w:val="0"/>
          <w:color w:val="1A1A1A"/>
          <w:sz w:val="17"/>
        </w:rPr>
        <w:t>BRAIN — Protein Structure Prediction ML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(UC Berkeley 2004; rewritten 2026)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NeurIPS 2014 accepted paper on artificial neural networks for protein secondary structure prediction. Production ML platform in PyTorch with 5 neural architectures, MLflow experiment tracking, Optuna HPO, and FastAPI serving — 823 automated tests, Docker orchestration (6 containers); spans 413 to 8B parameters.</w:t>
      </w:r>
    </w:p>
    <w:p>
      <w:pPr>
        <w:spacing w:before="110" w:after="20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EDUCATION</w:t>
      </w:r>
    </w:p>
    <w:p>
      <w:pPr>
        <w:spacing w:before="30" w:after="2"/>
      </w:pPr>
      <w:r>
        <w:rPr>
          <w:rFonts w:ascii="Arial" w:hAnsi="Arial"/>
          <w:b/>
          <w:i w:val="0"/>
          <w:color w:val="1A1A1A"/>
          <w:sz w:val="17"/>
        </w:rPr>
        <w:t>CARNEGIE MELLON UNIVERSITY, SILICON VALLEY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Science — Software Management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Mountain View, CA (08/16)</w:t>
      </w:r>
    </w:p>
    <w:p>
      <w:pPr>
        <w:spacing w:before="30" w:after="2"/>
      </w:pPr>
      <w:r>
        <w:rPr>
          <w:rFonts w:ascii="Arial" w:hAnsi="Arial"/>
          <w:b/>
          <w:i w:val="0"/>
          <w:color w:val="1A1A1A"/>
          <w:sz w:val="17"/>
        </w:rPr>
        <w:t>CARNEGIE MELLON, TEPPER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Business Administration — Concentrations: Finance, Quantitative Analysis, Economics</w:t>
      </w:r>
      <w:r>
        <w:rPr>
          <w:rFonts w:ascii="Arial" w:hAnsi="Arial"/>
          <w:b w:val="0"/>
          <w:i w:val="0"/>
          <w:color w:val="888888"/>
          <w:sz w:val="15"/>
        </w:rPr>
        <w:t xml:space="preserve">    Pittsburgh, PA (03/12)</w:t>
      </w:r>
    </w:p>
    <w:p>
      <w:pPr>
        <w:spacing w:before="30" w:after="2"/>
      </w:pPr>
      <w:r>
        <w:rPr>
          <w:rFonts w:ascii="Arial" w:hAnsi="Arial"/>
          <w:b/>
          <w:i w:val="0"/>
          <w:color w:val="1A1A1A"/>
          <w:sz w:val="17"/>
        </w:rPr>
        <w:t>UC BERKELEY, COLLEGE OF ENGINEERING &amp; HAAS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Bachelor of Science — Computational Engineering Science</w:t>
      </w:r>
      <w:r>
        <w:rPr>
          <w:rFonts w:ascii="Arial" w:hAnsi="Arial"/>
          <w:b w:val="0"/>
          <w:i w:val="0"/>
          <w:color w:val="888888"/>
          <w:sz w:val="15"/>
        </w:rPr>
        <w:t xml:space="preserve">    Berkeley, CA (12/05)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Certificate — Corporate Finance for Financial Engineering</w:t>
      </w:r>
    </w:p>
    <w:p>
      <w:pPr>
        <w:spacing w:before="110" w:after="20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TEACHING EXPERIENCE</w:t>
      </w:r>
    </w:p>
    <w:p>
      <w:pPr>
        <w:spacing w:before="60" w:after="0"/>
      </w:pPr>
      <w:r>
        <w:rPr>
          <w:rFonts w:ascii="Arial" w:hAnsi="Arial"/>
          <w:b/>
          <w:i w:val="0"/>
          <w:color w:val="1A1A1A"/>
          <w:sz w:val="17"/>
        </w:rPr>
        <w:t>DE ANZA COLLEGE</w:t>
      </w:r>
      <w:r>
        <w:rPr>
          <w:rFonts w:ascii="Arial" w:hAnsi="Arial"/>
          <w:b w:val="0"/>
          <w:i w:val="0"/>
          <w:color w:val="888888"/>
          <w:sz w:val="15"/>
        </w:rPr>
        <w:t xml:space="preserve">  |  Cupertino, CA</w:t>
      </w:r>
    </w:p>
    <w:p>
      <w:pPr>
        <w:spacing w:before="3" w:after="12"/>
      </w:pPr>
      <w:r>
        <w:rPr>
          <w:rFonts w:ascii="Arial" w:hAnsi="Arial"/>
          <w:b w:val="0"/>
          <w:i/>
          <w:color w:val="555555"/>
          <w:sz w:val="17"/>
        </w:rPr>
        <w:t>Adjunct Faculty — Computer Information Systems Department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04/18 – Present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CIS 35A/B, 36A/B — Java Programming; CIS 64C/64G — Introduction to PL/SQL; CIS 44F — Introduction to Data Analytics; CIS 64E — Fundamentals of Large Scale Cloud Computing (AWS, GCP); CIS 102 — Ethical Hacking; CIS 104 — Digital Forensics; CIS 95F — Managing Cloud Projects.</w:t>
      </w:r>
    </w:p>
    <w:p>
      <w:pPr>
        <w:spacing w:before="110" w:after="20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ADDITIONAL INFORMATION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FAA Commercial Drone License; FAA Private Pilot License (intended CFI)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O'Reilly &amp; OER Publications: Data Analytics and Managing Cloud Projects (forthcoming Summer 2026)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First Tee Assistant Golf Coach — San Francisco Chapter (2012–Present), Pittsburgh Chapter (2011–2012)</w:t>
      </w:r>
    </w:p>
    <w:p>
      <w:pPr>
        <w:spacing w:before="5" w:after="5"/>
        <w:ind w:left="360" w:hanging="200"/>
      </w:pPr>
      <w:r>
        <w:rPr>
          <w:rFonts w:ascii="Arial" w:hAnsi="Arial"/>
          <w:b w:val="0"/>
          <w:i w:val="0"/>
          <w:color w:val="1A1A1A"/>
          <w:sz w:val="17"/>
        </w:rPr>
        <w:t>•</w:t>
        <w:tab/>
      </w:r>
      <w:r>
        <w:rPr>
          <w:rFonts w:ascii="Arial" w:hAnsi="Arial"/>
          <w:b w:val="0"/>
          <w:i w:val="0"/>
          <w:color w:val="1A1A1A"/>
          <w:sz w:val="17"/>
        </w:rPr>
        <w:t>Interests: Classical &amp; Jazz Saxophone (Alto/Tenor/Baritone), Triathlon, Golf, Intramural Basketball &amp; Soccer</w:t>
      </w:r>
    </w:p>
    <w:sectPr w:rsidR="00FC693F" w:rsidRPr="0006063C" w:rsidSect="00034616">
      <w:pgSz w:w="12240" w:h="15840"/>
      <w:pgMar w:top="400" w:right="580" w:bottom="400" w:left="5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elixamoruw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